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A/1896/2015 vom 11. September 2015</w:t>
      </w:r>
    </w:p>
    <w:p>
      <w:r>
        <w:t>GE Cour de justice, 2015-09-11, FR</w:t>
      </w:r>
    </w:p>
    <w:p>
      <w:r>
        <w:rPr>
          <w:b/>
        </w:rPr>
        <w:t xml:space="preserve">Quelle: </w:t>
      </w:r>
      <w:r>
        <w:t>https://mcp.opencaselaw.ch/entscheid/ge_gerichte_A_1896_2015</w:t>
      </w:r>
    </w:p>
    <w:p>
      <w:r>
        <w:t>FR: GE_GERICHTE A/1896/2015 du 11 septembre 2015</w:t>
      </w:r>
    </w:p>
    <w:p>
      <w:r>
        <w:t>IT: GE_GERICHTE A/1896/2015 del 11 settembre 2015</w:t>
      </w:r>
    </w:p>
    <w:p>
      <w:pPr>
        <w:pStyle w:val="Heading2"/>
      </w:pPr>
      <w:r>
        <w:t>Erwägungen</w:t>
      </w:r>
    </w:p>
    <w:p>
      <w:r>
        <w:rPr>
          <w:b/>
        </w:rPr>
        <w:t>E. 3</w:t>
      </w:r>
    </w:p>
    <w:p>
      <w:r>
        <w:t>ème Chambre En la cause Monsieur A______, domicilié c/o Mme B______, à CAROUGE/GE Madame A______, domiciliée à Genève demandeurs contre SWISS LIFE SA, sise General Guisan-Quai 40, 8002 ZURICH ALLIANZ SUISSE, Société d’assurances sur la Vie SA, sise Richtiplaz 1, 8304 WALLISELLEN défenderesses EN FAIT 1.        Par jugement du 13 mars 2015, la 16 ème chambre du Tribunal de première instance a prononcé le divorce de Madame A______, née C______ le ______ 1974, et Monsieur A______, né le ______ 1975, lesquels s’étaient mariés en date du 25 janvier 2008. ![endif]&gt;![if&gt; 2.        Au chiffre 14 du dispositif du jugement précité, le Tribunal de première instance a ordonné le partage par moitié des avoirs de prévoyance professionnelle acquis par chacun des époux durant le mariage.![endif]&gt;![if&gt; 3.        Le jugement de divorce, devenu définitif le 12 mai 2015,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25 janvier 2008 et le 12 mai 2015.![endif]&gt;![if&gt; 5.        S'agissant du demandeur, il est apparu, après consultation du rassemblement de ses comptes individuels : ![endif]&gt;![if&gt; - qu'il a été affilié d’avril 2002 à mai 2009, puis de janvier 2011 à décembre 2014 à la FONDATION COLLECTIVE LPP D’ALLIANZ SUISSE ; qu’au moment du mariage, son avoir s’élevait à CHF 21'115.40, ce qui représentait, au moment du divorce, un montant de CHF 24'355.95, compte tenu des intérêts accumulés durant le mariage ; qu’en date du divorce, il avait accumulé CHF 58'074.30 (cf. courrier de la fondation du 1 er juillet 2015). 6.        Quant à la demanderesse, il s'est avéré, après consultation du rassemblement de ses comptes individuels : ![endif]&gt;![if&gt; - que d’octobre 2009 à octobre 2010, elle a été employée par A______ SA, plus particulièrement le père du demandeur, et affiliée à la FONDATION COLLECTIVE LPP D’ALLIANZ SUISSE, auprès de laquelle elle a accumulé un avoir qui s’élevait, au moment du divorce, à CHF 3'793.- (cf. courrier de la fondation du 1er juillet 2015) ; - qu'elle a travaillé de décembre 2011 à octobre 2013 pour la fondation D______ et a été affiliée à SWISSLIFE, auprès de laquelle elle avait accumulé en date du divorce le montant de CHF 8'051.85 (cf. courrier de la fondation du 25 août 2015).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25 janvier 2008, date du mariage, d’autre part le 12 mai 2015, date à laquelle le jugement de divorce est devenu exécutoire.![endif]&gt;![if&gt; 4.        Selon les documents produits, la prestation acquise pendant le mariage par le demandeur s'élève à CHF 33'718.35 (58'074.30 - 24'355.95), tandis que celle acquise par la demanderesse atteint la somme de CHF 11'844.85 (3'793 + 8'051.85), les intérêts ayant déjà été calculés par les institutions de prévoyance défenderesses. Ainsi le demandeur doit à son ex-épouse le montant de CHF 16'859.20 (33'718.35 : 2) alors qu'elle lui doit celui de CHF 5'922.45 (11'844.85 : 2), de sorte que c’est en définitive le demandeur qui doit à son ex-épouse le montant de CHF 10'936.75 (16'859.20 - 5'922.45).![endif]&gt;![if&gt;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statuant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