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A/1895/2011 vom 1. September 2011</w:t>
      </w:r>
    </w:p>
    <w:p>
      <w:r>
        <w:t>GE Cour de justice, 2011-09-01, FR</w:t>
      </w:r>
    </w:p>
    <w:p>
      <w:r>
        <w:rPr>
          <w:b/>
        </w:rPr>
        <w:t xml:space="preserve">Quelle: </w:t>
      </w:r>
      <w:r>
        <w:t>https://mcp.opencaselaw.ch/entscheid/ge_gerichte_A_1895_2011</w:t>
      </w:r>
    </w:p>
    <w:p>
      <w:r>
        <w:t>FR: GE_GERICHTE A/1895/2011 du 1 septembre 2011</w:t>
      </w:r>
    </w:p>
    <w:p>
      <w:r>
        <w:t>IT: GE_GERICHTE A/1895/2011 del 1 settembre 2011</w:t>
      </w:r>
    </w:p>
    <w:p>
      <w:pPr>
        <w:pStyle w:val="Heading2"/>
      </w:pPr>
      <w:r>
        <w:t>Regeste</w:t>
      </w:r>
    </w:p>
    <w:p>
      <w:r>
        <w:t>Commandement de payer. Notification irrègulière. Annulation. Nièce du débiteur. | LP.64.1; LP; LP.64.2; LP.72</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poursuivi a qualité pour agir par cette voie. La plainte a été déposée dans les dix jours à compter du jour où il a eu connaissance du rejet de son opposition pour tardiveté (art. 32 al. 2 LP). Elle satisfait aux exigences de forme et de contenu prescrites par la loi (art. 9 al. 1 LaLP).</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Par ailleurs, le terme adulte n’est pas synonyme de majeur. Doit être considérée comme adulte toute personne dont le développement physique et intellectuel donne l’impression de la maturité (ATF 110 III 9 consid. 2, JdT 1987 II 28 ; ATF 5P.18/2006 du 3 mai 2006 consid. 3.2 à propos de l’art. 14 al. 1 LPC dont la teneur est quasiment identique à celle de l’art. 64 al. 1 LP ; BlSchK 2007, p. 60 consid. 2b ; BlSchK 2006, p. 20 consid. 2a ; Yvan Jeanneret / Saverio Lembo , in CR-LP, n° 22 ss, 24 ad art. 64 LP ; Pierre-Robert Gilliéron , Commentaire ad art. 64 n° 22 ss). .</w:t>
      </w:r>
    </w:p>
    <w:p>
      <w:r>
        <w:rPr>
          <w:b/>
        </w:rPr>
        <w:t>E. 2.2</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w:t>
      </w:r>
    </w:p>
    <w:p>
      <w:r>
        <w:rPr>
          <w:b/>
        </w:rPr>
        <w:t>E. 2.3</w:t>
      </w:r>
    </w:p>
    <w:p>
      <w:r>
        <w:t>L’annulation sur plainte d’une notification irrégulière suppose toutefois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w:t>
      </w:r>
    </w:p>
    <w:p>
      <w:r>
        <w:rPr>
          <w:b/>
        </w:rPr>
        <w:t>E. 3</w:t>
      </w:r>
    </w:p>
    <w:p>
      <w:r>
        <w:t>3.1 En l'espèce, il est constant que le commandement de payer a été notifié par un agent postal en mains d'une dénommée Mlle T______ qui s'est présentée comme la nièce du plaignant. Selon les données de l'Office cantonal de la population, aucune Mlle T______ n'est domiciliée dans le canton de Genève au domicile du plaignant de sorte que cette personne ne saurait être considérée comme une personne adulte du ménage de la poursuivie au sens de l'art. 64 al 2 2 ème phr. LP, soit une personne faisant partie de son économie domestique (Pierre-Robert Gilliéron , Commentaire, ad art. 64 n° 22 ss ; Yvan Jeanneret / Saverio Lembo , CR-LP ad art. 64 n° 24 et les arrêts cités).</w:t>
      </w:r>
    </w:p>
    <w:p>
      <w:r>
        <w:rPr>
          <w:b/>
        </w:rPr>
        <w:t>E. 3.2</w:t>
      </w:r>
    </w:p>
    <w:p>
      <w:r>
        <w:t>L'Autorité de céans retient en conséquence que cette notification est viciée, étant rappelé que la notification d'un commandement de payer est un acte fondamental de la procédure d'exécution forcée et que les formes prescrites doivent être scrupuleusement respectées. En l'occurrence, il peut être admis que le plaignant a eu connaissance du commandement de payer et de son contenu essentiel à son retour de Paris et qu'il s'est rendu, dans le délai de dix jours, dans les locaux de l'Office pour former opposition.</w:t>
      </w:r>
    </w:p>
    <w:p>
      <w:r>
        <w:rPr>
          <w:b/>
        </w:rPr>
        <w:t>E. 4</w:t>
      </w:r>
    </w:p>
    <w:p>
      <w:r>
        <w:t>L'Autorité de céans invitera en conséquence l'Office à enregistrer l'opposition formée par le plaignant au commandement de payer, poursuite n° 11 xxxx53 T.</w:t>
      </w:r>
    </w:p>
    <w:p>
      <w:r>
        <w:rPr>
          <w:b/>
        </w:rPr>
        <w:t>E. 5</w:t>
      </w:r>
    </w:p>
    <w:p>
      <w:r>
        <w:t>La plainte sera donc déclarée recevable et admise au sens des considérants. PAR CES MOTIFS, L'Autorité de surveillance : A la forme : Déclare recevable la plainte formée le 14 juin 2011 par M. B______ dans le cadre de la poursuite n° 11 xxxx53 T. Au fond : L'admet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