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A/1893/2024 vom 19. Dezember 2024</w:t>
      </w:r>
    </w:p>
    <w:p>
      <w:r>
        <w:t>GE Cour de justice, 2024-12-19, FR</w:t>
      </w:r>
    </w:p>
    <w:p>
      <w:r>
        <w:rPr>
          <w:b/>
        </w:rPr>
        <w:t xml:space="preserve">Quelle: </w:t>
      </w:r>
      <w:r>
        <w:t>https://mcp.opencaselaw.ch/entscheid/ge_gerichte_A_1893_2024</w:t>
      </w:r>
    </w:p>
    <w:p>
      <w:r>
        <w:t>FR: GE_GERICHTE A/1893/2024 du 19 décembre 2024</w:t>
      </w:r>
    </w:p>
    <w:p>
      <w:r>
        <w:t>IT: GE_GERICHTE A/1893/2024 del 19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L’objet du litige est la quotité de la rente entière d’invalidité octroyée à la recourante.</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le droit aux prestations est reconnu à compter du 1 er janvier 2022, de sorte que le nouveau droit s’applique.</w:t>
      </w:r>
    </w:p>
    <w:p>
      <w:r>
        <w:rPr>
          <w:b/>
        </w:rPr>
        <w:t>E. 4.1</w:t>
      </w:r>
    </w:p>
    <w:p>
      <w:r>
        <w:t>La recourante est une ressortissante du Portugal, État partie à la Convention de sécurité sociale du 11 septembre 1975 entre la Suisse et le Portugal (ci-après : la Convention entre la Suisse et le Portugal - RS 0.831.109.654.1) et à l’Accord du 21 juin 1999 entre la Confédération suisse, d’une part, et la Communauté européenne et ses États membres, d’autre part, sur la libre circulation des personnes (ALCP - RS 0.142.112.681).</w:t>
      </w:r>
    </w:p>
    <w:p>
      <w:r>
        <w:rPr>
          <w:b/>
        </w:rPr>
        <w:t>E. 4.2</w:t>
      </w:r>
    </w:p>
    <w:p>
      <w:r>
        <w:t>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(RO 2004 121 ; ci-après : le règlement n° 1408/71). Une décision n°1/2012 du Comité mixte du 31 mars 2012 (RO 2012 2345) a actualisé le contenu de l’Annexe II à l’ALCP avec effet au 1 er avril 2012. Il a été prévu, en particulier, que les Parties appliqueraient désormais entre elles le Règlement (CE) n°883/2004 du Parlement européen et du Conseil du 29 avril 2004 portant sur la coordination des systèmes de sécurité sociale, modifié par le Règlement (CE) n°988/2009 du Parlement européen et du Conseil du 16 septembre 2009 (ci-après : le règlement n°883/2004 - RS 0.831.109.268.1).</w:t>
      </w:r>
    </w:p>
    <w:p>
      <w:r>
        <w:rPr>
          <w:b/>
        </w:rPr>
        <w:t>E. 4.3</w:t>
      </w:r>
    </w:p>
    <w:p>
      <w:r>
        <w:t>Au préalable, il convient de rappeler qu’avec l’entrée en vigueur simultanée de l’ALCP et du règlement n°1408/71 le 1 er juin 2002, la coordination des régimes de sécurité sociale entre la Suisse et le Portugal était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entre la Suisse et le Portugal. Le second système B était celui dans lequel l’invalide qui a cotisé successivement dans les deux États perçoit une rente partielle de chacun des pays concernés calculée au pro rata des périodes d’assurance accomplies.</w:t>
      </w:r>
    </w:p>
    <w:p>
      <w:r>
        <w:rPr>
          <w:b/>
        </w:rPr>
        <w:t>E. 4.4</w:t>
      </w:r>
    </w:p>
    <w:p>
      <w:r>
        <w:t>Sous le titre « relation entre le présent règlement et d’autres instruments de coordination », l’art. 8 § 1 du règlement n°883/2004 prévoit : « Dans son champ d’application, le présent règlement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 » Auparavant, sous le régime du règlement n°1408/71 qui contenait une disposition similaire, le Tribunal fédéral avait retenu que cela n’excluait pas qu’un assuré fût mis au bénéfice d’une disposition plus favorable d’une convention bilatérale de sécurité sociale, pour autant qu’il eût exercé son droit à la libre circulation avant l’entrée en vigueur de l’ALCP (ATF 142 V 112 ). Ainsi, s’agissant d’un ressortissant portugais résidant en Suisse depuis 1989, au bénéfice d’une rente de l’assurance-invalidité suisse depuis janvier 2009, le Tribunal fédéral a jugé que les périodes de cotisations accomplies par l’assuré au Portugal avant son arrivée en Suisse devaient être prises en compte dans le calcul de sa rente pour autant que cette solution lui fût plus favorable. Notre Haute Cour s’est fondée sur l’ATF 133 V 329 selon lequel il y avait lieu de reprendre le principe de l’application des dispositions plus favorables d’une convention bilatérale de sécurité sociale, tel que dégagé par la jurisprudence de la Cour de justice des Communautés européennes (CJCE ; devenue entre-temps la Cour de justice de l’Union européenne [CJUE] ; arrêt du 7 février 1991, Rönfeldt, C-227/89, Rec. 1991, p. I-323, précisé par l’arrêt du 9 novembre 1995, Thévenon, C-475/93, Rec. 1995, p. I-3813). Selon la CJCE, l’application du règlement n°1408/71 ne devait pas conduire à la perte des avantages de sécurité sociale résultant de conventions de sécurité sociale en vigueur entre deux ou plusieurs États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Kaske, C-277/99, Rec. 2002 p. I-1261, point 27). Le principe selon lequel l’application de la réglementation européenne de coordination ne devait pas entraîner la diminution (ou la perte) des avantages de sécurité sociale prévus par des conventions de sécurité sociale a été développé à partir de l’arrêt Petroni (arrêt de la CJCE du 24 octobre 1975, Petroni, 24/75 Rec. P. 1149 ; cf . arrêt Rönfeldt précité, point 26). Dans l’ATF 142 V 112 , le Tribunal fédéral a relevé que l’art. 8 § 1 du règlement n°883/2004 reprend le principe de l’application des conventions de sécurité sociale plus favorables ( cf . art. 7 § 2 let. c du règlement n°1408/71), que les dispositions plus favorables de ces conventions doivent figurer à l’annexe II du règlement pour être maintenues en vigueur et que l’annexe II ne contient aucune disposition concernant les relations entre la Suisse et le Portugal. Il a laissé ouverte la question de savoir si la jurisprudence de l’ATF 133 V 329 ( cf . consid. 4.4 supra ) et la jurisprudence européenne sur laquelle elle se fondait demeuraient applicables sous le régime du règlement n°883/2004. Le Tribunal fédéral a finalement répondu par l’affirmative à cette question dans un arrêt 9C_198/2022 du 30 mai 2023 consid. 5.3.3. Dans cet arrêt, le Tribunal fédéral, constatant que ni l’office intimé, ni la juridiction cantonale n’avaient examiné le point de savoir si le système de la Convention entre la Suisse et le Portugal était plus favorable à l’assuré que le système du règlement n°883/2004 par le biais d’un calcul comparatif fondé sur des informations dont l’obtention ne soulevait guère de difficultés pratiques pour les autorités compétentes suisses –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 art. 84 du règlement n° 1408/71 ; art. 76ss du règlement n°883/2004 ; art. 2ss du Règlement [CE] n°987/2009 du Parlement européen et du Conseil du 16 septembre 2009 fixant les modalités d’application du règlement n°883/2004 portant sur la coordination des systèmes de sécurité sociale [RS 0.831.109.268.11] ; ATF 142 V 112 consid. 4.5) – a annulé la décision administrative litigieuse et renvoyé la cause à l’administration pour qu’elle complète l’instruction sur ce point et rende une nouvelle décision.</w:t>
      </w:r>
    </w:p>
    <w:p>
      <w:r>
        <w:rPr>
          <w:b/>
        </w:rPr>
        <w:t>E. 5.1</w:t>
      </w:r>
    </w:p>
    <w:p>
      <w:r>
        <w:t>À teneur de son art. 1 let. B, la Convention de sécurité sociale entre la Suisse et le Portugal s’applique à la législation fédérale sur l’assurance-invalidité. Son art. 12 al. 1 prévoit que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(ci-après : RAM).</w:t>
      </w:r>
    </w:p>
    <w:p>
      <w:r>
        <w:rPr>
          <w:b/>
        </w:rPr>
        <w:t>E. 5.2</w:t>
      </w:r>
    </w:p>
    <w:p>
      <w:r>
        <w:t>Par renvoi de l’art. 32 RAI, ce sont les dispositions des art. 50 à 53 bis du règlement sur l’assurance vieillesse et survivants du 31 octobre 1947 (RAVS ‑ RS 831.101) qui s’appliquent pour le mode de calcul. L’art. 52 RAVS concerne l’échelonnement des rentes partielles et fixe le numéro de l’échelle des rentes au regard du rapport en pour cent entre les années entières de cotisations de l’assuré et celle de sa classe d’âge. S’agissant du montant de la rente, l’art. 53 al. 1 RAVS dispose que les tables de rente sont établies par l’Office fédéral des assurances sociales (ci-après : OFAS). Pour fixer le montant de la rente, il faut se référer au n o de l’échelle de rente puis au revenu annuel de l’assuré.</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selon les pièces figurant au dossier, il apparaît que la recourante a travaillé pendant plusieurs années au Portugal avant de venir travailler en Suisse en septembre 2017 et de se voir reconnaitre le droit à une rente d'invalidité. Se pose donc la question de l’application éventuelle de l’ALCP et / ou des Règlements postérieurs cités supra sous ch. 4.</w:t>
      </w:r>
    </w:p>
    <w:p>
      <w:r>
        <w:rPr>
          <w:b/>
        </w:rPr>
        <w:t>E. 7.1</w:t>
      </w:r>
    </w:p>
    <w:p>
      <w:r>
        <w:t>Ce n’est qu’à partir de l’année 2017 que la recourante a exercé son droit à la libre circulation, soit bien après l’entrée en vigueur de l’ALCP en 2002. Partant, la jurisprudence découlant de l’arrêt de la CJCE dans la cause « Petroni » citée supra ne s’applique pas. Dès lors, c’est le régime antérieur qui est applicable, soit celui de la Convention bilatérale entre la Suisse et le Portugal, et plus précisément le système de type B dans lequel l’assuré invalide, qui a cotisé successivement dans les deux États, perçoit une rente partielle de chacun des pays concernés calculée au pro rata des périodes d’assurance accomplies. À teneur de l’art. 12 al. 1 de la Convention bilatérale entre la Suisse et le Portugal, seules les périodes de cotisations suisses sont prises en compte pour déterminer le RAM. Partant, c’est à juste titre que la caisse a fixé le RAM en ne se fondant que sur les périodes de cotisations suisses.</w:t>
      </w:r>
    </w:p>
    <w:p>
      <w:r>
        <w:rPr>
          <w:b/>
        </w:rPr>
        <w:t>E. 7.2</w:t>
      </w:r>
    </w:p>
    <w:p>
      <w:r>
        <w:t>En ce qui concerne le montant querellé de la rente d’invalidité, il a été établi sur la base de l’extrait du compte individuel AVS du 21 juillet 2021, qui démontre que l’assurée a perçu à Genève, un revenu de : CHF 1'556.- (sur 4 mois) en 2017, CHF 30'155.- (sur 12 mois) en 2018, CHF 29'597.- (sur 12 mois) en 2019 et CHF 7'191.- (sur 9 mois) en 2020. Le RAM fixé au 31 décembre 2019 par la caisse correspond à 2 années et 4 mois de cotisations, dont le total ascende à CHF 61'308.-. Ce montant divisé par 2 ans et 4 mois (soit 28 mois) permet d’aboutir à un montant moyen de CHF 2'189.- par mois. Annualisé sur 12 mois, cela équivaut à un RAM de CHF 26'274.85 arrondi à CHF 26'275.- (au 31 décembre 2019) ; en application de l’art. 51bis RAVS, le revenu a été revalorisé au 1 janvier 2022 à CHF 27'246.-, puis revalorisé au 1 er décembre 2023 à CHF 27'930.-. Le montant du RAM calculé par la caisse est donc exact. La caisse a retenu l’échelle de rente partielle n o 6, qui, en application de l’art. 52 al. 1 RAVS, doit correspondre au rapport en pour cent entre les années entières de cotisations de la recourante et celle de sa classe d’âge, soit au moins 11,37% mais inférieure à 13,64%. En ajoutant les 9 mois cotisés en 2020 (année d’ouverture) aux 2 ans et 4 mois cotisés par la recourante au 31 décembre 2019, on aboutit à un total de 3 ans et 1 mois. En convertissant 26 années en mois, on aboutit à un total de 312 mois. La période de trois ans et un mois correspond à 37 mois, soit 11,85 % de 312 mois. Ce pourcentage est supérieur à 11,37 % mais inférieur à 13,64 %, ce qui correspond à l’échelle de rente partielle n o 6. La table de rente établie par l’OFAS (état au 1 er janvier 2023) fixe, en p. 96, pour l’échelle de rente n o 6 et le revenu annuel correspondant à celui de la recourante, une rente mensuelle AVS d’un montant de CHF 206.-.</w:t>
      </w:r>
    </w:p>
    <w:p>
      <w:r>
        <w:rPr>
          <w:b/>
        </w:rPr>
        <w:t>E. 8.1</w:t>
      </w:r>
    </w:p>
    <w:p>
      <w:r>
        <w:t>À l’aune de ce qui précède, la décision querellée est bien fondée et la chambre de céans n’a d’autre choix que de rejeter le recours.</w:t>
      </w:r>
    </w:p>
    <w:p>
      <w:r>
        <w:rPr>
          <w:b/>
        </w:rPr>
        <w:t>E. 8.2</w:t>
      </w:r>
    </w:p>
    <w:p>
      <w:r>
        <w:t>Étant donné que, depuis le 1 er juillet 2006, la procédure n'est plus gratuite (art. 69 al. 1bis LAI), au vu du sort du recours,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