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A/1891/2024 vom 5. November 2024</w:t>
      </w:r>
    </w:p>
    <w:p>
      <w:r>
        <w:t>GE Cour de justice, 2024-11-05, FR</w:t>
      </w:r>
    </w:p>
    <w:p>
      <w:r>
        <w:rPr>
          <w:b/>
        </w:rPr>
        <w:t xml:space="preserve">Quelle: </w:t>
      </w:r>
      <w:r>
        <w:t>https://mcp.opencaselaw.ch/entscheid/ge_gerichte_A_1891_2024</w:t>
      </w:r>
    </w:p>
    <w:p>
      <w:r>
        <w:t>FR: GE_GERICHTE A/1891/2024 du 5 novembre 2024</w:t>
      </w:r>
    </w:p>
    <w:p>
      <w:r>
        <w:t>IT: GE_GERICHTE A/1891/2024 del 5 novembre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60 al. 1 LIPAD).</w:t>
      </w:r>
    </w:p>
    <w:p>
      <w:r>
        <w:rPr>
          <w:b/>
        </w:rPr>
        <w:t>E. 2</w:t>
      </w:r>
    </w:p>
    <w:p>
      <w:r>
        <w:t>Le recourant sollicite une audience de comparution personnelle.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le recourant, qui ne dispose pas du droit à être entendu oralement, a eu l’occasion d’exposer son point de vue en détail par écrit tant devant l’autorité intimée que devant la chambre de céans, à l’occasion d’un double échange d’écritures. Le dossier contient au demeurant les déterminations écrites de l’appelé en cause, en particulier son écriture du 24 août 2022 dans laquelle il expose en détail les raisons pour lesquelles les extraits sollicités de son agenda électronique devraient, selon lui, être soustraits au droit d’accès. Son audition ne servirait qu’à confirmer sa position déjà exprimée par écrit. La mesure d’instruction sollicitée n’apparaît donc pas nécessaire, les informations utiles à la résolution du litige ressortant du dossier. Il ne sera donc pas donné suite à la demande de comparution personnelle formée par le recourant.</w:t>
      </w:r>
    </w:p>
    <w:p>
      <w:r>
        <w:rPr>
          <w:b/>
        </w:rPr>
        <w:t>E. 3</w:t>
      </w:r>
    </w:p>
    <w:p>
      <w:r>
        <w:t>Le litige porte sur la conformité au droit de la décision par laquelle l’intimée a refusé de donner au recourant l’accès à l’agenda de l’ancien procureur pour les mois d’octobre 2016, mars 2017 et février 2018.</w:t>
      </w:r>
    </w:p>
    <w:p>
      <w:r>
        <w:rPr>
          <w:b/>
        </w:rPr>
        <w:t>E. 3.1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3.2</w:t>
      </w:r>
    </w:p>
    <w:p>
      <w:r>
        <w:t>L’activité publique s’exerce de manière transparente, conformément aux règles de la bonne foi, dans le respect du droit fédéral et du droit international (art. 9 al. 3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4</w:t>
      </w:r>
    </w:p>
    <w:p>
      <w:r>
        <w:t>Dans un premier grief, le recourant reproche à l’autorité intimée d’avoir considéré que les extraits d’agenda de l’ancien procureur étaient soustraits au droit d’accès consacré par la LIPAD.</w:t>
      </w:r>
    </w:p>
    <w:p>
      <w:r>
        <w:rPr>
          <w:b/>
        </w:rPr>
        <w:t>E. 4.1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l’art. 2 du règlement du Pouvoir judiciaire sur l'accès aux documents et aux données personnelles du 1 er novembre 2021 (RADPJ - E 2 05.52), par document judiciaire, on entend les décisions judiciaires et les autres documents d'une procédure judiciaire (al. 1). Par document administratif, on entend tout autre document traité par le Pouvoir judiciaire (al. 2).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saisis ou de remplir les tâches de surveillance dont ils sont investis (Mémorial des séances du Grand Conseil de la République et canton de Genève [ci-après : MGC] 2005-2006 Y A, p. 8490).</w:t>
      </w:r>
    </w:p>
    <w:p>
      <w:r>
        <w:rPr>
          <w:b/>
        </w:rPr>
        <w:t>E. 4.2</w:t>
      </w:r>
    </w:p>
    <w:p>
      <w:r>
        <w:t>Au plan fédéral – non concerné ici –, la loi fédérale sur le principe de la transparence dans l’administration du 17 décembre 2004 (LTrans - RS 152.3)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 ATA/39/2022 du 18 janvier 2022 consid. 7b et l'arrêt cité). Selon l’art. 3 al. 1 let. a LTrans, celle-ci ne s’applique pas à l’accès aux documents officiels concernant les procédures civiles (ch. 1) et pénales (ch. 2). Selon le message du Conseil fédéral du 12 février 2003 relatif à LTrans, l’accès aux documents relatifs aux procédures administratives et judiciaires énumérées à l’art. 3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Un avis de droit commandé par l’administration en vue de l’ouverture éventuelle d’une action en justice, par exemple, pourrait être très utile à un administré pour préparer sa défense puisqu’il pourrait alors s’appuyer sur les conclusions de cet avis. Un tel document serait toutefois susceptible de perturber le déroulement de la procédure à venir ou en cours, particulièrement si l’État est partie au procès et s’il choisit comme ligne de défense un argument opposé à l’avis de droit en question (FF 2003 1807, p. 1850).</w:t>
      </w:r>
    </w:p>
    <w:p>
      <w:r>
        <w:rPr>
          <w:b/>
        </w:rPr>
        <w:t>E. 4.3</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 Dans un arrêt ultérieur, le Tribunal fédéral a été saisi d’un refus d’accès au dossier personnel du recourant au motif que la production des pièces avait déjà été requise dans le cadre de la procédure civile. Il a considéré que ni l'arrêt attaqué, ni le département n'indiquent quel intérêt prépondérant, public ou privé lié à la procédure civile en cours s'opposerait à ce que le recourant ait accès à son dossier personnel (arrêt du Tribunal fédéral 1C_642/2017 du 28 mai 2018 consid. 2.3). Plus récemment, dans un arrêt publié, le Tribunal fédéral s’est demandé si un rapport d'audit commandé par le Conseil d’État du canton de Neuchâtel et figurant dans des dossiers de procédures civile et pénale était soumis à la Convention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LTrans,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w:t>
      </w:r>
    </w:p>
    <w:p>
      <w:r>
        <w:rPr>
          <w:b/>
        </w:rPr>
        <w:t>E. 4.4</w:t>
      </w:r>
    </w:p>
    <w:p>
      <w:r>
        <w:t>En l’espèce, il n’est pas contesté que la demande d'accès à l'agenda de l'ancien procureur a été adressée au Pouvoir judiciaire, soit une institution publique à laquelle la LIPAD s'applique (art. 3 al. 1 let. a LIPAD). L’intimée considère toutefois que le document sollicité a trait à l’activité juridictionnelle du Ministère public, si bien qu’il serait soustrait au droit d’accès consacré par la LIPAD, comme cela est rappelé à l’art. 3 al. 3 let. b LIPAD. Il est vrai que la LIPAD ne s'applique pas aux procédures civiles, pénales et administratives en cours. Ainsi, pour les procédures pendantes, les règles relatives à la consultation du dossier sont fixées par les différentes lois de procédure. L’art. 3 al. 3 let. b LIPAD vise toutefois le traitement de données personnelles effectué par les juridictions « en application des lois de procédure pénale, civile, administrative ou d’entraide judiciaire ». Or, il va de soi que l’inscription d’une entrée dans un agenda professionnel, certes en lien avec une procédure en cours, n’est pas effectuée en application d’une loi de procédure, mais dans une pure optique d’aide organisationnelle. Le texte de l’art. 3 al. 3 let. b LIPAD est absolument clair et n'autorise aucune interprétation divergente. C’est ainsi en vain que l’autorité intimée déduit du message de la LIPAD que cette disposition vise en réalité tous les documents judiciaires « au sens large », dont l’utilisation d’un agenda électronique. Le message indique par ailleurs expressément que la réserve de l’art. 3 al. 3 let. b LIPAD est justifiée par le fait que ce domaine est régi par les lois de procédure (MGC, p. 14098). C’est en ce sens que le Tribunal fédéral a interprété l’art. 3 al. 1 let. a LTrans, en retenant que les documents qui, bien qu’ayant un rapport plus large avec les procédures en question, ne font pas partie du dossier de procédure au sens strict, sont accessibles aux conditions de la loi sur la transparence. Or, en l’occurrence, l’agenda du procureur n’est pas intégré au dossier pénal en cours et n’influe aucunement sur le processus décisionnel proprement dit. Ainsi, comme l’a retenu le préposé dans sa recommandation, il s’agit d’un document administratif qui, bien qu’ayant un rapport plus large avec une procédure pénale en cours, n’a pas été rempli en application d’une loi de procédure pénale. C’est partant à tort que, se fondant sur l’art. 3 al. 3 let. b LIPAD, la décision entreprise a soustrait l’agenda du procureur au champ d’application de la LIPAD.</w:t>
      </w:r>
    </w:p>
    <w:p>
      <w:r>
        <w:rPr>
          <w:b/>
        </w:rPr>
        <w:t>E. 5</w:t>
      </w:r>
    </w:p>
    <w:p>
      <w:r>
        <w:t>Le recourant critique ensuite l’argumentation retenue à titre subsidiaire par l’autorité intimée, selon laquelle l’agenda de l’ancien procureur, utilisé uniquement comme aide-mémoire, n’entre pas dans la catégorie des documents accessibles selon la LIPAD.</w:t>
      </w:r>
    </w:p>
    <w:p>
      <w:r>
        <w:rPr>
          <w:b/>
        </w:rPr>
        <w:t>E. 5.1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 Selon l’art. 6 let. a du règlement d'application de la loi sur l'information du public, l'accès aux documents et la protection des données personnelles du 21 décembre 2011 (RIPAD - A 2 08.01), constituent notamment des notes à usage personnel au sens de l’art. 25 al. 4 LIPAD, qu’elles soient manuscrites ou non et quels qu’en soient la forme ou le support : les notes prises en vue de la rédaction future d’un document. 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 Selon le message à l'appui de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5.2</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Au plan fédéral, l’art. 1 al. 3 de l’ordonnance sur le principe de la transparence dans l’administration (OTrans - RS 152.31)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un arrêt publié aux ATF 142 II 324 ,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w:t>
      </w:r>
    </w:p>
    <w:p>
      <w:r>
        <w:rPr>
          <w:b/>
        </w:rPr>
        <w:t>E. 5.3</w:t>
      </w:r>
    </w:p>
    <w:p>
      <w:r>
        <w:t>Conformément à l'art. 30 al. 1 Cst., toute personne dont la cause doit être jugée dans une procédure judiciaire a droit à ce qu'elle soit portée devant un tribunal établi par la loi, compétent, indépendant et impartial. À Genève, le principe de l’indépendance du magistrat est ancré aux art. 117 al. 2 de la Constitution de la République et canton de Genève du 14 octobre 2012 [Cst‑GE ‑ A 2 00] et 2 al. 1 LOJ.</w:t>
      </w:r>
    </w:p>
    <w:p>
      <w:r>
        <w:rPr>
          <w:b/>
        </w:rPr>
        <w:t>E. 5.4</w:t>
      </w:r>
    </w:p>
    <w:p>
      <w:r>
        <w:t>Dans le cas particulier, il n’est pas contesté que l’ancien procureur a utilisé son agenda en rapport avec l’accomplissement de sa fonction, et donc aussi pour exécuter des tâches publiques. Conformément à la jurisprudence précitée, bien que des rendez-vous privés y aient aussi été consignés, l’agenda électronique et les informations qui y sont contenues servent principalement à l’activité professionnelle, si bien qu’il constitue, sous réserve des cas visé à l’art. 25 al. 4 LIPAD, dont il sera question ci-après, un document au sens de l’art. 25 al. 1 LIPAD. Les parties s’opposent sur le point de savoir si les extraits de l’agenda sollicités constituent des « notes à usage personnel » au sens de l’art. 25 al. 4 LIPAD (art. 3 al. 3 let. a LIPAD). Dans la décision entreprise, l’autorité intimée a considéré que l’agenda litigieux n’était utilisé par l’ancien procureur que comme aide-mémoire, de sorte qu’il était l’équivalent des notes à usage personnel. Compte tenu de l’absence de fonction hiérarchique du magistrat et de l’indépendance requise dans l’exercice de ses fonctions juridictionnelles, l’agenda litigieux ne contenait aucun élément sur la gestion d’un service. Il n’avait ainsi pas la même portée que l’agenda de l’ancien chef de l’armement de l’office fédéral de l’armement visé dans l’ATF 142 II 324 . Se fondant sur la recommandation du préposé ainsi que sur l’arrêt précité, le recourant conteste ce point de vue. Il considère que l’agenda constitue un élément de conduite du cabinet du procureur, investi de la charge de direction de la procédure. Il ne s’agit ainsi pas d’un point central de la gestion d’un rendez-vous d’un procureur. En l’occurrence, à l’aune de la jurisprudence susmentionnée, il convient d’examiner si l’agenda litigieux a une influence déterminante dans l’ensemble de l’activité et des processus de la juridiction concernée et s’il constitue un instrument de conduite essentiel pour la direction du cabinet du procureur. Ainsi que l’a retenu le préposé dans sa recommandation, la réponse à cette question n’est pas d’emblée évidente. Dans ses déterminations devant l’autorité intimée, l’appelé en cause a précisé les modalités d’utilisation de son agenda Outlook . Il a notamment relevé qu’il était le seul à en avoir la maîtrise ; son usage – facultatif – n’était destiné qu’à lui-même et à l’organisation de ses différentes activités. En tant qu’il était strictement personnel et confidentiel, son agenda n’avait aucune vocation à organiser l’activité d’autres personnes et encore moins d’un service, étant précisé qu’il n’exerçait aucune fonction hiérarchique. Il ne donnait aucune vue sur « l’activité publique » du Ministère public ou d’un cabinet, pas plus qu’il ne servait à gérer un service. Sur la base de ces explications, force est de retenir que la présente espèce se distingue de la situation envisagée dans l’ATF 142 II 324 sur deux points principaux : d’une part, l’agenda litigieux est destiné à l’usage exclusif de son détenteur ; d’autre part, il ne joue aucun rôle dans l’organisation, la conduite et la communication de sa juridiction ou de son cabinet. Certes, parmi les différentes fonctions que propose un agenda Outlook , figurent la communication et la coopération entre les collaborateurs. Un tel outil permet en particulier de coordonner les rendez-vous, de transmettre des informations à l’intérieur d’une équipe et de planifier l’activité de collaborateurs. Or, l’ancien procureur a dûment expliqué que, dans le cadre de son utilisation concrète de l’agenda mis à sa disposition par l’État, il ne faisait pas usage de ces options de partage et de communication. Il n’avait pas conféré de droits d’accès à son agenda, lequel était strictement personnel. Il n’a pas non plus indiqué avoir envoyé d’invitations à participer à des séances, ce qui ne ressort d’ailleurs pas des pièces litigieuses. Les entrées inscrites au calendrier concernent uniquement le magistrat en question et ne portent pas sur des séances de travail ou des réunions ayant une incidence sur l’organisation d’autres membres de la juridiction. C’est le lieu de rappeler que, dans l’arrêt précité, l’ancien chef de l’armement de l’office fédéral de l’armement avait lui-même exposé qu’il ne pouvait imaginer l’organisation et la communication interne sans avoir recours à l’agenda Outlook . L’ancien procureur ne se trouve toutefois pas dans cette situation : contrairement à celui qui occupe la position d’un des cadres les plus élevés du département fédéral de la défense, le procureur n’assume aucune fonction hiérarchique et exerce ses activités juridictionnelles dans le respect de l’indépendance du magistrat. Le déroulement de sa journée et la gestion de ses propres rendez-vous n’a aucune influence sur l’activité des autres membres de la juridiction. L’utilisation de son agenda Outlook , facultative et réservée à son seul usage, sert ainsi uniquement d’aide-mémoire. Contrairement à ce que soutient le recourant, ce raisonnement n’entre pas en contradiction avec la recommandation du 14 décembre 2021 du préposé fédéral à la protection des données et à la transparence portant sur la demande d’accès aux extraits d’agendas de deux collaborateurs de l’AFC-CH. Il ressort en effet de cette recommandation que, faute pour l’AFC-CH d’avoir communiqué les caractéristiques générales des entrées dans les calendriers des collaborateurs (par exemple les séances de travail, rendez-vous médicaux, voyage de service, etc.), le préposé n’avait pas été en mesure d’apprécier la nature desdits rendez-vous. L’AFC-CH, qui supportait le fardeau de la preuve, n’avait dès lors pas fourni une motivation suffisante permettant de démontrer qu'en l'espèce les entrées des deux calendriers n’avaient pas de lien avec l’accomplissement d’une tâche publique ou qu’elles étaient uniquement destinées à un cercle restreint de personnes, si bien que l’exception de l'art. 5 al. 3 let. c LTrans ne pouvait être retenue. Or, en l’occurrence, l’ancien procureur a produit les extraits litigieux et s’est déterminé tant sur les caractéristiques générales des entrées sur son agenda que sur l’utilisation – exclusive – qu’il en faisait. Aussi est-ce à raison que l’autorité intimée a refusé de donner accès aux extraits sollicités de l’agenda de l’ancien procureur. Compte tenu de l’issue du litige, il n’est pas nécessaire d’examiner si, comme le retient la décision entreprise à titre subsidiaire, l’accès au document sollicité reviendrait à rendre inopérantes les restrictions au droit d’accès prévues aux art. 100 et 101 CPP. Mal fondé, le recours sera rejeté.</w:t>
      </w:r>
    </w:p>
    <w:p>
      <w:r>
        <w:rPr>
          <w:b/>
        </w:rPr>
        <w:t>E. 6</w:t>
      </w:r>
    </w:p>
    <w:p>
      <w:r>
        <w:t>Vu l'issue du litige, un émolument de CHF 1’000.- sera mis à la charge du recourant (art. 87 al. 1 LPA), et il ne sera pas alloué d'indemnité de procédure, l'appelé en cause n'ayant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