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A/188/2005 vom 17. Juni 2004</w:t>
      </w:r>
    </w:p>
    <w:p>
      <w:r>
        <w:t>GE Cour de justice, 2004-06-17, FR</w:t>
      </w:r>
    </w:p>
    <w:p>
      <w:r>
        <w:rPr>
          <w:b/>
        </w:rPr>
        <w:t xml:space="preserve">Quelle: </w:t>
      </w:r>
      <w:r>
        <w:t>https://mcp.opencaselaw.ch/entscheid/ge_gerichte_A_188_2005</w:t>
      </w:r>
    </w:p>
    <w:p>
      <w:r>
        <w:t>FR: GE_GERICHTE A/188/2005 du 17 juin 2004</w:t>
      </w:r>
    </w:p>
    <w:p>
      <w:r>
        <w:t>IT: GE_GERICHTE A/188/2005 del 17 giugno 2004</w:t>
      </w:r>
    </w:p>
    <w:p>
      <w:pPr>
        <w:pStyle w:val="Heading2"/>
      </w:pPr>
      <w:r>
        <w:t>Erwägungen</w:t>
      </w:r>
    </w:p>
    <w:p>
      <w:r>
        <w:rPr>
          <w:b/>
        </w:rPr>
        <w:t>E. 6</w:t>
      </w:r>
    </w:p>
    <w:p>
      <w:r>
        <w:t>ème Chambre du 25 avril 2005 En la cause Madame D__________ et Monsieur D__________, comparant par Me Christine GAITZSCH en l’étude de laquelle il élit domicile. demandeurs contre PAX ASSURANCES, Société suisse de l’assurance sur la vie, Aeschenplatz 13, Basel. et RENDITA, Fondation de libre passage, Postfach 8926, Zürich défenderesses EN FAIT Par jugement du 17 juin 2004, la 16 ème chambre du Tribunal de première instance a prononcé le divorce de Madame D__________ et Monsieur D__________, mariés en date du 12 mai 1986. Selon le chiffre 2 du jugement précité, le Tribunal de première instance a ordonné le partage par moitié des avoirs de prévoyance professionnelle acquis par chacun des époux durant le mariage. Le jugement de divorce est devenu définitif le 3 septembre 2004 en ce qui concerne le prononcé du divorce et le partage des avoirs de prévoyance et a été communiqué au Tribunal cantonal des assurances sociales le 24 janvier 2005. L’instruction menée par le Tribunal de céans a permis d’établir les faits suivants : S’agissant de Mme D__________ : Le 10 mai 2002, la Providentia fondation collective LPP a attesté qu’elle avait transféré le 31 mai 2001 un montant de fr. 2'587,60 à la fondation de libre passage de la Banque cantonale de Genève. Le 9 mars 2005, la fondation de libre passage de la Banque cantonale de Genève a attesté qu’elle avait transféré un montant de fr. 2'652.- le 11 juin 2003 à la Winterthur-Columna. Le 10 mars 2005, la Winterthur-Columna a attesté qu’elle avait transféré le 29 février 2004 une prestation de libre passage de fr. 14'012,60 à la fondation RENDITA à Zürich. Le 23 mars 2005, RENDITA fondation de libre passage a attesté que le montant du capital de libre passage se montait au 3 septembre 2004 à fr. 14'076,45, intérêts compris. S’agissant de M. D__________ : Le 7 mars 2005, la PAX fondation collective LPP a attesté que l’avoir de prévoyance se montait au 3 septembre 2004 à fr. 59'530.-. Le 29 mars 2005, le Tribunal cantonal des assurances sociales a informé les parties qu’un montant de fr. 22'726,80 revenait à la demanderesse et leur a imparti un délai afin qu’elles se prononcent sur ce cacul. Le 1 er avril 2005, le demandeur a déclaré approuver le calcul précité. Le 6 avril 2005, la PAX, société suisse d’assurance sur la vie, a confirmé que le montant à partager était bien de fr. 59'530.-. La RENDITA n’a pas répondu dans le délai imparti.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3. En l’espèce, le juge de première instance a ordonné le partage par moitié des avoirs de prévoyance des demandeurs. Les dates pertinentes sont, d’une part, celle du mariage, le 12 mai 1986, d’autre part le 3 septembre 2004, date à laquelle le jugement de divorce est devenu exécutoire. Selon les documents produits, la prestation acquise pendant le mariage par M. D__________ est de fr. 59'530.- tandis que celle acquise par Mme D__________ est de fr. 14'076,45, les intérêts ayant déjà été calculés par les institutions de prévoyance défenderesses. Ainsi M. D__________ doit à son ex-épouse le montant de fr. 29'765.- (fr. 59'530.- : 2) et celle-ci doit à celui-là le montant de fr. 7'038,20 (fr. 14'076,45 : 2), de sorte que c’est M. D__________ qui doit à Mme D__________ le montant de fr. 22'726,80.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