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A/1872/2021 vom 18. Januar 2023</w:t>
      </w:r>
    </w:p>
    <w:p>
      <w:r>
        <w:t>GE Cour de justice, 2023-01-18, FR</w:t>
      </w:r>
    </w:p>
    <w:p>
      <w:r>
        <w:rPr>
          <w:b/>
        </w:rPr>
        <w:t xml:space="preserve">Quelle: </w:t>
      </w:r>
      <w:r>
        <w:t>https://mcp.opencaselaw.ch/entscheid/ge_gerichte_A_1872_2021</w:t>
      </w:r>
    </w:p>
    <w:p>
      <w:r>
        <w:t>FR: GE_GERICHTE A/1872/2021 du 18 janvier 2023</w:t>
      </w:r>
    </w:p>
    <w:p>
      <w:r>
        <w:t>IT: GE_GERICHTE A/1872/2021 del 18 gennaio 2023</w:t>
      </w:r>
    </w:p>
    <w:p>
      <w:pPr>
        <w:pStyle w:val="Heading2"/>
      </w:pPr>
      <w:r>
        <w:t>Erwägungen</w:t>
      </w:r>
    </w:p>
    <w:p>
      <w:r>
        <w:rPr>
          <w:b/>
        </w:rPr>
        <w:t>E. 4</w:t>
      </w:r>
    </w:p>
    <w:p>
      <w:r>
        <w:t>![endif]&gt;![if&gt;</w:t>
      </w:r>
    </w:p>
    <w:p>
      <w:r>
        <w:rPr>
          <w:b/>
        </w:rPr>
        <w:t>E. 4.1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4.2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![endif]&gt;![if&gt;</w:t>
      </w:r>
    </w:p>
    <w:p>
      <w:r>
        <w:rPr>
          <w:b/>
        </w:rPr>
        <w:t>E. 4.3</w:t>
      </w:r>
    </w:p>
    <w:p>
      <w:r>
        <w:t>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ATF 142 V 58 consid. 5.1 et les références; ATF 139 V 225 consid. 5.2 et les références; ATF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références).![endif]&gt;![if&gt;</w:t>
      </w:r>
    </w:p>
    <w:p>
      <w:r>
        <w:rPr>
          <w:b/>
        </w:rPr>
        <w:t>E. 4.4</w:t>
      </w:r>
    </w:p>
    <w:p>
      <w:r>
        <w:t>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ATF 135 V 465 consid. 4). ![endif]&gt;![if&gt;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w:t>
      </w:r>
    </w:p>
    <w:p>
      <w:r>
        <w:rPr>
          <w:b/>
        </w:rPr>
        <w:t>E. 4.5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4.6</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w:t>
      </w:r>
    </w:p>
    <w:p>
      <w:r>
        <w:rPr>
          <w:b/>
        </w:rPr>
        <w:t>E. 4.7</w:t>
      </w:r>
    </w:p>
    <w:p>
      <w:r>
        <w:t>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3.3).![endif]&gt;![if&gt;</w:t>
      </w:r>
    </w:p>
    <w:p>
      <w:r>
        <w:rPr>
          <w:b/>
        </w:rPr>
        <w:t>E. 4.8</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L'objet de la décision est alors uniquement la future suspension des prestations, à laquelle l'assureur-accidents peut procéder - si elle est fondée sur le plan du droit matériel et prouvée avec une vraisemblance prépondérante (RAMA 1994 n° U 206 p. 328 consid. 3b) - sans conditions de rétrocession et donc sans être lié par des prestations versées antérieurement.![endif]&gt;![if&gt;</w:t>
      </w:r>
    </w:p>
    <w:p>
      <w:r>
        <w:rPr>
          <w:b/>
        </w:rPr>
        <w:t>E. 4.9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arrêt du Tribunal fédéral des assurances I 751/03 du 19 mars 2004 consid. 3.3).![endif]&gt;![if&gt;</w:t>
      </w:r>
    </w:p>
    <w:p>
      <w:r>
        <w:rPr>
          <w:b/>
        </w:rPr>
        <w:t>E. 4.10</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w:t>
      </w:r>
    </w:p>
    <w:p>
      <w:r>
        <w:rPr>
          <w:b/>
        </w:rPr>
        <w:t>E. 5</w:t>
      </w:r>
    </w:p>
    <w:p>
      <w:r>
        <w:t>En l’espèce, l’intimée, après l’avoir admis, a retenu une absence de lien de causalité entre l’atteinte à la santé de la recourante et l’accident du 7 juin 2019, sur la base du rapport établi le 20 avril 2020 par le Dr I_______. Selon ce dernier, il n’était pas établi au degré de la vraisemblance prépondérante que la recourante avait subi un traumatisme crânien lors de l’accident. Ce médecin a relevé qu’aucune plainte, ni blessure en relation avec un traumatisme crânien n’avait été signalée aux urgences. Cela n’apparaît toutefois pas étonnant, puisque la recourante a pu brièvement perdre connaissance, puisqu’elle ne se souvient pas de l’impact ni de comment elle s’est retrouvée à terre. Il est donc possible qu’elle ne se soit pas rendu compte qu’elle avait subi un choc à la tête. De plus, elle se sentait très fatiguée et confuse et souffrait alors principalement de l’épaule droite, ce qui pouvait occulter d’autres douleurs. Dans ces circonstances, le fait que les médecins des urgences n’aient pas jugé utile de réaliser un scanner cérébral et aient mentionné qu’il n’y avait pas de traumatisme crânien ni de perte de connaissance n’est pas déterminant.![endif]&gt;![if&gt; Aucune des personnes présentes lors de l’accident n’a vu l’impact de la voiture sur le corps de la recourante, sauf l’élève, qui ne s’exprimait alors pratiquement pas en français et qui n’a apparemment pas été entendu par la police, qui semble s’être contentée de noter ses coordonnées. Or, ce témoin, qui maîtrisait alors le français, a déclaré clairement et de façon convaincante à la chambre de céans que la recourante avait d’abord été percutée par la voiture à la hauteur de la hanche gauche, puis que sa tête avait tapé le haut du capot de la voiture, en faisant un bruit entre moyen et fort. Le fait que cette description ne corresponde pas au mime de l’accident que l’élève aurait fait à la recourante, selon les déclarations de cette dernière, ne remet pas en cause la crédibilité du témoignage de celui-ci devant la chambre de céans, car cette description est indirecte et trop vague pour exclure que l’assurée aurait tapé sa tête contre le véhicule. Enfin, la trace longiligne que l’on peut voir sur les photographies du CD-ROM sur le côté droit confirme les déclarations du témoin, qui a parlé d’un premier choc au niveau de la hanche de la recourante. Il ressort en outre des photos n° 9245 à 9249 une trace d’impact qui pourrait avoir été causée par la tête de celle-ci. Les constats de la Dresse D______, effectués quatre jours après l’accident, selon son rapport du 2 juin 2020, confirment une atteinte à la tête de la recourante, au vu des symptômes qui étaient intervenus dans les suites directes de l’accident et qui ne s’expliquent pas autrement. Il est ainsi établi, au degré de la vraisemblance prépondérante que la recourante a subi un choc à la tête et un traumatisme crânien. Une lésion cérébrale de l’assurée est en outre objectivée par l’IRM du 11 septembre 2019, ce qui a été d’ailleurs admis par le médecin d’arrondissement de la SUVA le 13 janvier 2020. La critique émise par le Dr I_______ sur le diagnostic de lésion axonale diffuse retenu par le Prof. F______ sur la base de l’IRM du 11 septembre 2019, au motif que ce diagnostic reposait sur la notion d’un traumatisme crânien, n’est plus pertinente. Cela valide également les conclusions du bilan neuropsychologique effectué par Mme E______, qui retenait des troubles de l’attention de la recourante compatibles avec les séquelles de son traumatisme crânien du 7 juin 2019. Il en résulte que les conclusions du Dr I_______ sont fondées sur un état de fait incomplet et que son rapport n’établissait pas, au degré de la vraisemblance prépondérante, une absence de lien causalité entre l’accident et les troubles à la santé de la recourante. Il est au contraire suffisamment établi par les pièces du dossier que ces troubles sont en lien de causalité avec l’accident du 7 juin 2019. La décision sur opposition du 26 avril 2021, qui se fondait sur les conclusions du Dr I_______, doit en conséquence être annulée. L’intimée doit continuer à prendre en charge l’atteinte à la santé de la recourante en lien de causalité avec l’accident du 7 juin 2019 au-delà du 7 mai 2020.</w:t>
      </w:r>
    </w:p>
    <w:p>
      <w:r>
        <w:rPr>
          <w:b/>
        </w:rPr>
        <w:t>E. 6</w:t>
      </w:r>
    </w:p>
    <w:p>
      <w:r>
        <w:t>Le recours est ainsi admis.![endif]&gt;![if&gt; La recourante étant assistée d’un conseil a droit à des dépens qui seront fixés à CHF 2'500.- (art. 61 let. g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