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A/186/2004 vom 18. Mai 2005</w:t>
      </w:r>
    </w:p>
    <w:p>
      <w:r>
        <w:t>GE Cour de justice, 2005-05-18, FR</w:t>
      </w:r>
    </w:p>
    <w:p>
      <w:r>
        <w:rPr>
          <w:b/>
        </w:rPr>
        <w:t xml:space="preserve">Quelle: </w:t>
      </w:r>
      <w:r>
        <w:t>https://mcp.opencaselaw.ch/entscheid/ge_gerichte_A_186_2004</w:t>
      </w:r>
    </w:p>
    <w:p>
      <w:r>
        <w:t>FR: GE_GERICHTE A/186/2004 du 18 mai 2005</w:t>
      </w:r>
    </w:p>
    <w:p>
      <w:r>
        <w:t>IT: GE_GERICHTE A/186/2004 del 18 maggio 2005</w:t>
      </w:r>
    </w:p>
    <w:p>
      <w:pPr>
        <w:pStyle w:val="Heading2"/>
      </w:pPr>
      <w:r>
        <w:t>Erwägungen</w:t>
      </w:r>
    </w:p>
    <w:p>
      <w:r>
        <w:rPr>
          <w:b/>
        </w:rPr>
        <w:t>E. 5</w:t>
      </w:r>
    </w:p>
    <w:p>
      <w:r>
        <w:t>Le litige porte sur le droit du recourant aux prestations d’assurance-accidents de l’intimée, singulièrement sur le point de savoir si l’épicondylite droite dont il souffre est due à un accident ou une maladie professionnelle.</w:t>
      </w:r>
    </w:p>
    <w:p>
      <w:r>
        <w:rPr>
          <w:b/>
        </w:rPr>
        <w:t>E. 6</w:t>
      </w:r>
    </w:p>
    <w:p>
      <w:r>
        <w:t>Pour pouvoir apprécier une situation médicale, l’administration (ou le juge s’il y a recours) a besoin de documents que le médecin, éventuellement d’autres spécialistes, doivent lui fournir. La tâche du médecin consiste à porter un jugement sur l’état de santé et à indiquer dans quelle mesure et pour quelles activités l’assuré est incapable de travailler.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(ATFA non publié du 23 mai 2003 en la cause U 267/02 consid. 4.2).</w:t>
      </w:r>
    </w:p>
    <w:p>
      <w:r>
        <w:rPr>
          <w:b/>
        </w:rPr>
        <w:t>E. 7</w:t>
      </w:r>
    </w:p>
    <w:p>
      <w:r>
        <w:t>Aux termes de l’art. 9 de l’Ordonnance sur l’assurance-accidents (OLAA), est réputée accident toute atteinte dommageable, soudaine et involontaire, portée au corps humain par une cause extérieure extraordinaire. a) Selon l’art. 6 al. 1 LAA, les prestations d’assurance sont allouées en cas d’accident professionnel, d’accident non-professionnel et de maladie professionnelle. L’assuré a notamment droit au traitement médical approprié des lésions résultant de l’accident et, s’il est totalement ou partiellement incapable de travailler à la suite de l’accident, à une indemnité journalière (art. 10 et art. 16 LAA). Par ailleurs, selon l’art. 18 al. 1 LAA, l’assuré peut prétendre à une rente d’invalidité s’il devient invalide à 10 % au moins par suite d’un accident et, selon l’art. 24 al. 1 LAA, à une indemnité équitable pour atteinte à l’intégrité si, par suite de l’accident, il souffre d’atteinte importante et durable à son intégrité physique ou mentale. Le droit aux prestations suppose d’abord un rapport de causalité naturelle et adéquate entre l’accident et l’atteinte à la santé. b)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rapports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découlant de l’accident assuré doit être nié (ATF 119 V 337 consid. 1, 118 V 289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w:t>
      </w:r>
    </w:p>
    <w:p>
      <w:r>
        <w:rPr>
          <w:b/>
        </w:rPr>
        <w:t>E. 8</w:t>
      </w:r>
    </w:p>
    <w:p>
      <w:r>
        <w:t>En l’espèce, il ressort du rapport établi le 25 février 2003 par le Dr E__________ que l’épicondylite droite traitée depuis 2000 ne peut pas être en relation de causalité avec l’accident de 1996. Ces conclusions sont motivées et ont été posées après étude du dossier clinique de l’assuré, après l’avoir examiné et tenu compte de ses plaintes, ainsi que de la situation socio-professionnelle. Elles répondent ainsi aux réquisits jurisprudentiels susmentionnés. Par ailleurs, elles ne sont pas contredites par les autres pièces médicales. En effet, le Dr A__________ a relevé que seul le premier épisode, résultant d’un choc direct sur le coude droit, pouvait être lié clairement à une cause externe et que, de son point de vue, la relation causale entre l’accident et l’apparition d’une épicondylite ne pouvait être formellement établie sur la base des données de l’anamnèse et de l’examen. Le Dr D__________ s’est par ailleurs rallié à l’avis du Dr E__________ en soulignant que l’accident du 23 janvier 1996 était lié à un traumatisme de la face interne du coude droit associé à une atteinte du nerf ulnaire mais dont l’évolution avait été favorable et que les douleurs de de la face externe du coude étaient apparues en 2000 sans nouveau traumatisme manifeste. Ainsi, c’est à juste titre que l’intimée a refusé de prendre en charge l’épicondylite droite qui ne saurait être considérée comme une séquelle de l’accident de 1996.</w:t>
      </w:r>
    </w:p>
    <w:p>
      <w:r>
        <w:rPr>
          <w:b/>
        </w:rPr>
        <w:t>E. 9</w:t>
      </w:r>
    </w:p>
    <w:p>
      <w:r>
        <w:t>Selon l'art. 9 al. 1 LAA, sont réputées maladies professionnelles, les maladies dues exclusivement ou de manière prépondérante - dans l'exercice de l'activité professionnelle - à des substances nocives ou à certains travaux. Le Conseil fédéral a dressé en annexe I de l'ordonnance sur l’assurance-accidents du 20 décembre 1982 (OLAA), la liste – exhaustive (RAMA 1988 n° U 61 p. 449) - des affections dues au travail. En tant que l'épicondilyte n'y figure pas, le présent cas ne relève pas de l'art. 9 al. 1 LAA mais éventuellement de l'art. 9 al. 2 LAA.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est réalisée lorsque la maladie professionnelle résulte à 75 % au moins de l'activité professionnelle (ATF 126 V 186 consid. 2b, 119 V 201 consid. 2b). En d'autres termes, il faut que les cas d'atteintes pour un groupe professionnel déterminé soient quatre fois plus nombreux que ceux enregistrés dans la population en général (ATF 116 V 143 consid. 5c; RAMA 2000 no U 408 p. 407).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et les références; voir également arrêt V. du 20 mars 2003 consid. 3.2-3.3, U 381/01).</w:t>
      </w:r>
    </w:p>
    <w:p>
      <w:r>
        <w:rPr>
          <w:b/>
        </w:rPr>
        <w:t>E. 10</w:t>
      </w:r>
    </w:p>
    <w:p>
      <w:r>
        <w:t>En ce qui concerne la question de savoir si l’épicondylite droite diagnostiquée chez l’assuré constitue une maladie professionnelle au sens de l’art. 9 al. 2 LAA, il convient de déterminer si cette affection a été causée exclusivement ou de manière nettement prépondérante, soit pour 75% ou plus, par l’activité de monteur exercée par le recourant auprès de son ancien employeur. Le Dr E__________ a examiné cette question sous l’angle de l’ art. 9 al. 1 et 9 al. 2 LAA. Il est parvenu à la conclusion que la symptomatologie des coudes ne représentait pas une maladie professionnelle, relevant que le diagnostic d’épicondylite correspondait à une affection de l’appareil locomoteur d’origine multi-factorielle et qu’il n’était dès lors pas possible d’attribuer 75% de causalité professionnelle à cette affection. Les conclusions du Dr E__________ ne sont pas contredites par les autres pièces médicales. Le Dr D__________ a confirmé qu’il n’était pas démontré que l’épicondylite, même si elle était en relation avec l’activité professionnelle du recourant, le soit de manière prépondérante au sens de l’art. 9 al. 2 LAA. Le Dr A__________ a quant à lui indiqué qu’il n’avait pas les moyens de dire si les douleurs épicondyliennes dont se plaignait le recourant étaient le résultat d’un surmenage prolongé de la région des coudes dans le cadre de l’activité professionnelle. Le Tribunal relève en outre que la SUVA, lors de l’instruction du cas, s’est rendue chez l’ex-employeur de l’intéressé où elle a constaté que l’assuré avait des tâches nombreuses et différentes les unes des autres, qu’il n’y avait pas de mouvement répétitif mais bien au contraire une activité très variée et ceci quotidiennement. Au niveau des bras et des coudes, les travaux de serrage et de fixage n’étaient pas les plus fréquents et en tout cas ni répétitifs ni demandant des efforts physiques très importants. En conséquence, la preuve du lien de causalité qualifiée requis par l’art. 9 al. 2 LAA ne saurait être admis et c’est à bon droit que la prise en charge du cas par l’assurance-accidents a été refusée.</w:t>
      </w:r>
    </w:p>
    <w:p>
      <w:r>
        <w:rPr>
          <w:b/>
        </w:rPr>
        <w:t>E. 11</w:t>
      </w:r>
    </w:p>
    <w:p>
      <w:r>
        <w:t>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