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A/1856/2003 vom 31. März 2004</w:t>
      </w:r>
    </w:p>
    <w:p>
      <w:r>
        <w:t>GE Cour de justice, 2004-03-31, FR</w:t>
      </w:r>
    </w:p>
    <w:p>
      <w:r>
        <w:rPr>
          <w:b/>
        </w:rPr>
        <w:t xml:space="preserve">Quelle: </w:t>
      </w:r>
      <w:r>
        <w:t>https://mcp.opencaselaw.ch/entscheid/ge_gerichte_A_1856_2003</w:t>
      </w:r>
    </w:p>
    <w:p>
      <w:r>
        <w:t>FR: GE_GERICHTE A/1856/2003 du 31 mars 2004</w:t>
      </w:r>
    </w:p>
    <w:p>
      <w:r>
        <w:t>IT: GE_GERICHTE A/1856/2003 del 31 marzo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31.03.2004 A/1856/2003</w:t>
      </w:r>
    </w:p>
    <w:p>
      <w:r>
        <w:t>A/1856/2003 ATAS/207/2004 du 31.03.2004 ( CHOMAG ) , RETIRE RÉPUBLIQUE ET CANTON DE GENÈVE POUVOIR JUDICIAIRE A/1856/03 ATAS/207/2004 ARRET DU TRIBUNAL CANTONAL DES ASSURANCES SOCIALES 4 ème chambre du 31 mars 2004 En la cause Madame P__________ recourante contre OFFICE CANTONAL DE L’EMPLOI , 6 rue des Glacis-de-Rive à GENEVE, intimé Vu la décision rendue par la Caisse cantonale genevoise de chômage (ci-après la caisse) le 5 août 2003 ; Vu l'opposition formée par Madame P__________, rejetée par décision de l'intimée le 29 août 2003 ; Vu le recours interjeté par l'intéressé le 23 septembre 2003 ; Vu l'audience de comparution personnelle des parties du 10 mars 2004, au cours de laquelle l'assurée a déclaré retirer son recours ; PAR CES MOTIFS, LE TRIBUNAL CANTONAL DES ASSURANCES SOCIALES : Statuant (conformément à la disposition transitoire de l'art. 162 LOJ) A la forme : Prend acte du retrait du recours ; Dit que la procédure est gratuite ; Raye la cause du rôle. Le greffier : Walid BEN AMER La Présidente : Juliana BALDE Une copie conforme du présent arrêt est notifiée aux parties ainsi qu'à l'Office fédéral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