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A/1854/2023 vom 4. Februar 2025</w:t>
      </w:r>
    </w:p>
    <w:p>
      <w:r>
        <w:t>GE Cour de justice, 2025-02-04, FR</w:t>
      </w:r>
    </w:p>
    <w:p>
      <w:r>
        <w:rPr>
          <w:b/>
        </w:rPr>
        <w:t xml:space="preserve">Quelle: </w:t>
      </w:r>
      <w:r>
        <w:t>https://mcp.opencaselaw.ch/entscheid/ge_gerichte_A_1854_2023</w:t>
      </w:r>
    </w:p>
    <w:p>
      <w:r>
        <w:t>FR: GE_GERICHTE A/1854/2023 du 4 février 2025</w:t>
      </w:r>
    </w:p>
    <w:p>
      <w:r>
        <w:t>IT: GE_GERICHTE A/1854/2023 del 4 febbraio 2025</w:t>
      </w:r>
    </w:p>
    <w:p>
      <w:pPr>
        <w:pStyle w:val="Heading2"/>
      </w:pPr>
      <w:r>
        <w:t>Erwägungen</w:t>
      </w:r>
    </w:p>
    <w:p>
      <w:r>
        <w:rPr>
          <w:b/>
        </w:rPr>
        <w:t>E. 2</w:t>
      </w:r>
    </w:p>
    <w:p>
      <w:r>
        <w:t>La recourante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w:t>
      </w:r>
    </w:p>
    <w:p>
      <w:r>
        <w:rPr>
          <w:b/>
        </w:rPr>
        <w:t>E. 2.2</w:t>
      </w:r>
    </w:p>
    <w:p>
      <w:r>
        <w:t>En l'espèce, la recourante a eu l’occasion de faire valoir son point de vue tout au long de la procédure devant le TAPI, puis la chambre de céans. Elle a, en outre, pu produire toutes les pièces qu’elle estimait utiles, certaines étant même acceptées après que la cause devait être gardée à juger. Les allégués de fait contenus dans son acte de recours et se référant à la demande d’audition ne sont pas contestés. Quant à ceux contenus dans ses dernières écritures au sujet de la relation avec le père de ses enfants, son audition orale ne constituerait qu’une répétition de ses allégations formulées par écrit, et ne permettrait pas en soi d’étayer ceux-ci. La chambre de céans dispose ainsi d’un dossier complet, comprenant notamment le dossier de l’OCPM, lui permettant de se prononcer sur les griefs soulevés et trancher le litige en connaissance de cause, de sorte qu’il ne sera pas fait droit à la demande d’acte d’instruction.</w:t>
      </w:r>
    </w:p>
    <w:p>
      <w:r>
        <w:rPr>
          <w:b/>
        </w:rPr>
        <w:t>E. 3</w:t>
      </w:r>
    </w:p>
    <w:p>
      <w:r>
        <w:t>Il convient d’examiner si la recourante ou ses enfants remplissent les conditions d’un cas d’extrême gravité.</w:t>
      </w:r>
    </w:p>
    <w:p>
      <w:r>
        <w:rPr>
          <w:b/>
        </w:rPr>
        <w:t>E. 3.1</w:t>
      </w:r>
    </w:p>
    <w:p>
      <w:r>
        <w:t>Selon l’art. 61 LPA, le recours devant la chambre administrative peut être formé pour violation du droit, y compris l’excès et l’abus du pouvoir d’appréciation, ainsi que constatation inexacte des faits (al. 1). La chambre administrative ne connaît en revanche pas de l’opportunité des décisions prises en matière de police des étrangers, dès lors qu’il ne s’agit pas d’une mesure de contrainte (al. 2 ; art. 10 al. 2 de la loi d’application de la loi fédérale sur les étrangers du 16 juin 1988 - LaLEtr - F 2 10, a contrario ; ATA/867/2024 du 23 juillet 2024 consid. 4.1 et les arrêts cités).</w:t>
      </w:r>
    </w:p>
    <w:p>
      <w:r>
        <w:rPr>
          <w:b/>
        </w:rPr>
        <w:t>E. 3.2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le 1 er janvier 2019, soit comme en l’espèce le 1 er septembre 2021, sont régies par le nouveau droit.</w:t>
      </w:r>
    </w:p>
    <w:p>
      <w:r>
        <w:rPr>
          <w:b/>
        </w:rPr>
        <w:t>E. 3.3</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Si le séjour illégal a été implicitement toléré jusque-là par les autorités chargées de l’application des prescriptions sur les étrangers et de l’exécution (communes ou cantons), cet aspect pèsera en faveur de l’étranger (SEM, Directives et commentaires, Domaine des étrangers, 2013 [ci‑après : directives  LEI] - état au 1 er janvier 2025, ch. 5.6.10).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3.4</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 arrêts du Tribunal fédéral 2C_256/2024 du 24 septembre 2024 consid. 5.5.1 ; 2C_731/2022 du 1 er novembre 2022 consid. 5.4).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3.5</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C-7330/2010 du 19 mars 2012 consid. 5.3 ; Minh SON NGUYEN/Cesla AMARELLE, op. cit .,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3.6</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Le seul fait d’obtenir en Suisse des prestations médicales supérieures à celles offertes dans le pays d’origine ne suffit pas à justifier une exception aux mesures de limitation ( ATA/766/2024 du 25 juin 2024 consid. 2.8).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Tribunal administratif fédéral F-6860/2016 du 6 juillet 2018 consid. 5.2.2 ; ATA/1474/2024 du 17 décembre 2024 consid. 3.8 ; ATA/766/2024 précité consid. 2.8).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Tribunal administratif fédéral F‑4125/2016 du 26 juillet 2017 consid. 5.4.1 ; ATA/506/2023 du 16 mai 2023 consid. 7.7 ; ATA/41/2022 du 18 janvier 2022 consid. 9).</w:t>
      </w:r>
    </w:p>
    <w:p>
      <w:r>
        <w:rPr>
          <w:b/>
        </w:rPr>
        <w:t>E. 3.7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F-1700/2022 du 10 janvier 2024 consid. 7.5 ; ATA/365/2024 du 12 mars 2024 consid. 2.5).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ATA/1068/2024 du 10 septembre 2024 consid. 6.3).</w:t>
      </w:r>
    </w:p>
    <w:p>
      <w:r>
        <w:rPr>
          <w:b/>
        </w:rPr>
        <w:t>E. 3.8</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3.9</w:t>
      </w:r>
    </w:p>
    <w:p>
      <w:r>
        <w:t>En l’espèce, le premier juge a longuement examiné la situation de la recourante et de ses enfants. Le jugement litigieux apparaît complet et motivé, de sorte qu’il est possible de s’y référer comme l’admet la jurisprudence (arrêt du Tribunal fédéral 1C_642/2022 du 7 novembre 2023 consid. 4.6.2). Le TAPI retient d’abord à juste titre que la durée du séjour de la recourante n’est pas déterminante, dès lors qu’elle est arrivée en Suisse en janvier 2020, soit il y a cinq ans. Ce séjour s’est entièrement effectué dans l’illégalité ou au bénéfice d’une tolérance des autorités de migration. Le jugement litigieux retient également de manière pertinente que son intégration socioprofessionnelle ne peut être qualifiée de bonne. Il ressort en effet du dossier qu’elle n’a quasiment pas exercé d’activité professionnelle, si ce n’est quelques mois au début de son séjour ; elle allègue certes avoir trouvé un emploi de femme de chambre depuis le mois de juin 2024 mais n’a fourni qu’un contrat de travail non signé et aucune fiche de salaire, ce qui ne permet pas de considérer comme établie la réalité – et encore moins le caractère pérenne – d’un tel emploi. La recourante ne conteste pas ne pas avoir été active, depuis son arrivée dans le canton, au sein d’associations ou dans le cadre d’activités bénévoles, ni ne pas s’être créé un cercle de connaissances et d’amis à Genève. Quasiment depuis le début de son séjour à Genève et à tout le moins jusqu’en juin 2024, elle dépend de l’assistance publique pour subvenir à ses besoins et à ceux de ses enfants. Arrivée en Suisse à l’âge de 28 ans, la recourante a passé son enfance et son adolescence, périodes décisives pour la formation de la personnalité, ainsi que le début de sa vie d’adulte et la majeure partie de son existence au Salvador. Elle a en conséquence conservé des attaches dans son pays et en maîtrise les us et coutumes. Force est par ailleurs de constater qu’au moment de sa venue en Suisse, la recourante n’avait aucun lien avec cette dernière si ce n’est la présence d’une amie, mais qu’elle était déjà atteinte dans sa santé, dès lors que son infection au VIH avait déjà été diagnostiquée au Salvador et que le syndrome de Marfan étant une maladie génétique, elle en est affectée depuis la naissance, quand bien même les symptômes s’en seraient surtout manifestés depuis 2020. Elle ne peut donc pas se prévaloir de son état de santé actuel – qui sera discuté, le cas échéant, plus avant sous l’angle de l’exécution du renvoi – pour qu’il soit admis que sa situation constitue un cas d’extrême gravité. Il résulte en outre du dossier que la recourante, comme l’a relevé à juste titre le TAPI, a encore des attaches familiales dans son pays d’origine, à tout le moins sa sœur et une nièce, et compte tenu de la brève durée de son absence du Salvador, elle y dispose encore très certainement d’un réseau social. De plus, elle est encore relativement jeune et peut travailler. Sa réintégration dans son pays d'origine ne paraît ainsi pas gravement compromise. Ses enfants sont nés au Salvador et sont arrivés en Suisse à l’âge de 8 ans et demi et de 6 ans respectivement. Leur séjour n’a duré que trois ans environ, si bien que même s’ils sont désormais scolarisés à Genève – sans que l’on connaisse du reste leurs résultats scolaires –, un retour dans leur pays d’origine ne saurait constituer un déracinement, étant précisé qu’ils ne sont pas non plus encore entrés dans l’adolescence. Les considérations qui précèdent au sujet de l’état de santé de la recourante valent aussi pour sa fille, qui est née au Salvador en étant déjà porteuse de la maladie génétique qui lui vaut ses problèmes de santé actuels. On relèvera enfin que les problèmes susceptibles d’affecter la recourante et ses enfants au Salvador sont pour l’essentiel ceux qui sont le lot de la population de ce pays, étant rappelé que l’exception aux mesures de limitation prévue par l’art. 30 al. 1 let. b LEI n'a pas pour but de soustraire les étrangers aux conditions de vie de leur pays d'origine. Le refus de l’intimé de proposer au SEM l’octroi d’une autorisation de séjour pour cas d’extrême gravité doit ainsi être confirmé.</w:t>
      </w:r>
    </w:p>
    <w:p>
      <w:r>
        <w:rPr>
          <w:b/>
        </w:rPr>
        <w:t>E. 4</w:t>
      </w:r>
    </w:p>
    <w:p>
      <w:r>
        <w:t>La recourante conteste que l'exécution de son renvoi soit licite et raisonnablement exigible, et sollicite son admission provisoire en Suisse.</w:t>
      </w:r>
    </w:p>
    <w:p>
      <w:r>
        <w:rPr>
          <w:b/>
        </w:rPr>
        <w:t>E. 4.1</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(arrêt de la CourEDH A.A. c. Suisse du 5 novembre 2019 req. No 32218/17, § 40 ; ATF 140 I 125 consid. 3.3 ; 134 I 221 consid. 3.2.1). 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(arrêts de la CourEDH A.A. c. Suisse du 5 novembre 2019 req. No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w:t>
      </w:r>
    </w:p>
    <w:p>
      <w:r>
        <w:rPr>
          <w:b/>
        </w:rPr>
        <w:t>E. 4.2</w:t>
      </w:r>
    </w:p>
    <w:p>
      <w:r>
        <w:t>Pour apprécier l'existence d'un risque réel de mauvais traitements, il convient d'appliquer des critères rigoureux. L'appréciation doit se concentrer sur les conséquences prévisibles de l'expulsion du requérant vers le pays de destination, compte tenu de la situation générale dans ce pays et des circonstances propres à l'intéressé. Il appartient en principe au requérant de produire des éléments susceptibles de démontrer qu'il y a des raisons sérieuses de penser que, si la mesure incriminée était mise à exécution, il serait exposé à un risque réel de se voir infliger des traitements contraires à l'art. 3 CEDH. Dans ce contexte, il y a lieu de rappeler qu'une part de spéculation est inhérente à la fonction préventive de l'art. 3 CEDH et qu'il ne s'agit pas d'exiger des intéressés qu'ils apportent une preuve certaine de leurs affirmations qu'ils seront exposés à des traitements prohibés. Lorsque de tels éléments sont produits, il incombe au Gouvernement de dissiper les doutes éventuels à leur sujet (arrêt de la CourEDH A.A. c. Suisse du 5 novembre 2019 req. No 32218/17, § 43 et 44 et les arrêts cités). L'art. 3 CEDH trouve aussi à s'appliquer lorsque le danger émane d'acteurs non étatiques (ATF 111 Ib 68 ). Encore faut-il démontrer que le risque existe réellement et que les autorités de l'État de destination ne sont pas en mesure d'y obvier par une protection appropriée ou n'ont pas la volonté de le faire (arrêt de la CourEDH Hirsi Jamaa et autres c. Italie du 23 février 2012, req. no 27765/09, § 120 ; arrêt du Tribunal fédéral 2C_564/2021 du 3 mai 2022 consid. 6.4 et les arrêts cités).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 ATA/1125/2023 du 11 octobre 2023 consid. 3.2 et les arrêts cités).</w:t>
      </w:r>
    </w:p>
    <w:p>
      <w:r>
        <w:rPr>
          <w:b/>
        </w:rPr>
        <w:t>E. 4.3</w:t>
      </w:r>
    </w:p>
    <w:p>
      <w:r>
        <w:t>Selon l'art. 64 al. 1 let. c LEI, toute personne étrangère dont l'autorisation est refusée, révoquée ou qui n'est pas prolongée après un séjour autorisé est renvoyée. La décision de renvoi est assortie d'un délai de départ raisonnable (art. 64 d al. 1 LEI).</w:t>
      </w:r>
    </w:p>
    <w:p>
      <w:r>
        <w:rPr>
          <w:b/>
        </w:rPr>
        <w:t>E. 4.4</w:t>
      </w:r>
    </w:p>
    <w:p>
      <w:r>
        <w:t>Conformément à l'art. 83 al. 1 LEI, le SEM décide d'admettre provisoirement un étranger si l'exécution du renvoi ou de l'expulsion n'est pas possible, n'est pas licite ou ne peut être raisonnablement exigée.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TAF F-5549/2020 du 17 octobre 2022 consid 7.1 ; ATA/735/2024 du 18 juin 2024 consid. 4.2).</w:t>
      </w:r>
    </w:p>
    <w:p>
      <w:r>
        <w:rPr>
          <w:b/>
        </w:rPr>
        <w:t>E. 4.5</w:t>
      </w:r>
    </w:p>
    <w:p>
      <w:r>
        <w:t>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 ATA/239/2016 du 15 mars 2016 consid. 6b ; ATA/403/2015 du 28 avril 2015 consid. 8c ; ATA/675/2014 du 26 août 2014 consid. 7).</w:t>
      </w:r>
    </w:p>
    <w:p>
      <w:r>
        <w:rPr>
          <w:b/>
        </w:rPr>
        <w:t>E. 4.6</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de la Convention de sauvegarde des droits de l’homme et des libertés fondamentales du 4 novembre 1950 (CEDH - RS 0.101)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4.7</w:t>
      </w:r>
    </w:p>
    <w:p>
      <w:r>
        <w:t>Selon la jurisprudence du TAF et de la chambre de céans, l'exécution du renvoi d'une personne infectée par le VIH est en principe raisonnablement exigible tant que la maladie n'a pas atteint le stade C (selon la classification CDC), ou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 ATAF D-5131/2020 du 26 mai 2021 consid. 7.3.2 et la référence citée ; ATA/735/2024 du 18 juin 2024 consid. 4.6 ; ATA/481/2024 du 16 avril 2024 consid. 4.4 ; ATA/455/2024 du 9 avril 2024 consid. 4.2 et 4.3).</w:t>
      </w:r>
    </w:p>
    <w:p>
      <w:r>
        <w:rPr>
          <w:b/>
        </w:rPr>
        <w:t>E. 4.8</w:t>
      </w:r>
    </w:p>
    <w:p>
      <w:r>
        <w:t>En 2022, le Tribunal administratif fédéral a conclu que le Salvador était certes confronté à de grandes difficultés économiques et à un taux de criminalité très élevé, mais que la situation politique y était globalement stable. Malgré la très mauvaise situation sécuritaire, il n'y régnait ni guerre, ni guerre civile, ni situation de violence généralisée, raison pour laquelle l'exécution du renvoi vers ce pays devait être considérée comme généralement exigible (arrêt du TAF D-2110/2021 du 10 juin 2022 consid. 8.3.1). Examinant à nouveau la situation en février 2024, il s'en est tenu à cette appréciation, d'autant plus que la situation sur place s'était améliorée sur certains points, notamment en ce qui concerne la lutte contre la criminalité en bande (arrêt du TAF D-995/2024 du 29 février 2024 consid. 6.3.1). À ce dernier égard, il sied de préciser que l’état d’urgence a été décrété en 2022 et est prolongé de mois en mois ; il est généralement admis que si la criminalité liée aux gangs a drastiquement baissé (passant de 5'269 homicides en 2016 à 154 en 2023), d’importants abus policiers et judiciaires dans ce cadre sont régulièrement dénoncés par les organisations non gouvernementales de défense des droits fondamentaux.</w:t>
      </w:r>
    </w:p>
    <w:p>
      <w:r>
        <w:rPr>
          <w:b/>
        </w:rPr>
        <w:t>E. 4.9</w:t>
      </w:r>
    </w:p>
    <w:p>
      <w:r>
        <w:t>En l’espèce, dès lors qu’il a refusé de soumettre le dossier de la recourante au SEM en vue de la délivrance d’une autorisation de séjour pour cas de rigueur, l’OCPM devait ordonner son renvoi de Suisse en application de l’art. 64 al. 1 let. c LEI. Reste toutefois à déterminer si l’exécution de cette mesure est possible, licite et peut être raisonnablement exigée au sens de l’art. 83 al. 4 LEI, au vu des problèmes de santé de la recourante et de sa fille ainsi que des risques pour son intégrité physique nouvellement allégués. S’agissant de l’état de santé de la recourante et de sa fille, il n’est tout d’abord pas contestée que la recourante soit infectée par le VIH et que la maladie soit actuellement au stade A1, ni qu’il lui soit nécessaire de recevoir – en principe à vie – un traitement antirétroviral. Dans la mesure où la maladie de la recourante n’a pas atteint le stade C, l’exécution de son renvoi est en principe raisonnablement exigible, conformément à la jurisprudence précitée. S’agissant des possibilités d’accès aux soins médicaux au Salvador, la représentation suisse compétente pour le Salvador a indiqué en novembre 2021 qu’il était possible de suivre un traitement contre le VIH au Salvador ; le coût mensuel moyen d'un traitement dans le secteur privé était de USD 450.-, mais il était possible d’être soigné gratuitement dans le secteur public, « avec toutes les limites d'un pays du tiers monde » ; le pays connaissait en effet un système de soins accessibles à la population. Dans ces conditions, malgré les spéculations de la recourante sur l’indisponibilité du traitement actuellement suivi – s’il est à cet égard établi qu’elle doit éviter certains antirétroviraux, il ne ressort pas du dossier que la recourante doive impérativement continuer à prendre la ou les mêmes molécules qu’actuellement –, il ne peut pas être retenu que la santé et la vie de la recourante seraient actuellement mises en danger par un renvoi dans son pays d’origine. Il en va de même pour le syndrome de Marfan, dont sa fille est atteinte et qu’elle a probablement aussi. En effet, ni pour elle ni pour sa fille, les symptômes actuels de la maladie ne revêtent le niveau de gravité requis par la jurisprudence pour considérer leur état de santé comme susceptible de faire obstacle à leur renvoi, étant précisé qu’il n’est pas établi que tous les problèmes d’B______, notamment la nécessité d’un suivi logopédique, soient à mettre en lien avec ladite maladie. Les difficultés psychiques mises récemment en avant par la recourante n’atteignent pas non plus le degré de gravité requis pour surseoir à l’exécution du renvoi. Le fait que le système de santé salvadorien soit moins doté et moins performant que celui disponible en Suisse ne suffit pas pour retenir une mise en danger au sens de l’art. 83 al. 4 LEI. La recourante allègue par ailleurs désormais – ce qu’elle n’avait pas fait jusqu’à ce que la cause soit gardée à juger en deuxième instance – que son intégrité serait en danger en cas de retour au Salvador, soit car le père de ses enfants – qui serait un membre de haut rang du gang H______ – s’en prendrait à elle, soit parce qu’elle risquerait de se faire arrêter par les autorités pénales pour collusion avec un gang. Elle joint certes à son écriture une plainte déposée en 2019 contre le père de ses enfants, mais aucune autre pièce relative à cette procédure pénale, ce qui suggère que ladite plainte – fondée ou non – n’a eu aucune suite, presque six ans s’étant écoulés depuis son dépôt. Les pièces fournies ne permettent pas non plus d’établir que le père de ses enfants soit bien, comme elle prétend, cadre d’un gang ou ait été condamné à ce titre. Il n’est dès lors pas possible à la chambre de céans de retenir que la recourante encourt un danger grave et surtout concret en cas de retour au Salvador, étant précisé que les déclarations de la recourante n’ont pas toujours été très cohérentes, dès lors qu’elle s’est d’abord prévalue de la criminalité liée aux gangs avant d’admettre qu’elle était la compagne d’un membre haut placé d’un gang, sans toutefois avoir jamais œuvré pour ledit gang. Quant à une poursuite pénale injustifiée de la part des autorités, quand bien même il apparaît que la répression de la criminalité organisée et l’état d’urgence décrété depuis 2022 sont accompagnés d’un certain nombre d’abus, il n’est pas possible en l’état de retenir que la recourante risquerait concrètement de telles poursuites abusives. Il découle de ce qui précède que l’exécution du renvoi de la recourante et de ses enfants est possible, licite et raisonnablement exigible. Il peut par ailleurs être renvoyé au jugement du TAPI lorsque ce dernier souligne que la recourante pourra se constituer une réserve de médicaments suffisante pour couvrir temporairement ses besoins, et changer de médication avec l'aide de ses médecins si la disponibilité de son traitement actuel ne devait pas être garantie. Mal fondé, le recours sera rejeté.</w:t>
      </w:r>
    </w:p>
    <w:p>
      <w:r>
        <w:rPr>
          <w:b/>
        </w:rPr>
        <w:t>E. 5</w:t>
      </w:r>
    </w:p>
    <w:p>
      <w:r>
        <w:t>Il ne sera pas perçu d’émolument, la recourante plaidant au bénéfice de l’assistance juridique (art. 87 al. 1 LPA cum art. 13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