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A/1853/2023 vom 6. Februar 2024</w:t>
      </w:r>
    </w:p>
    <w:p>
      <w:r>
        <w:t>GE Cour de justice, 2024-02-06, FR</w:t>
      </w:r>
    </w:p>
    <w:p>
      <w:r>
        <w:rPr>
          <w:b/>
        </w:rPr>
        <w:t xml:space="preserve">Quelle: </w:t>
      </w:r>
      <w:r>
        <w:t>https://mcp.opencaselaw.ch/entscheid/ge_gerichte_A_1853_2023</w:t>
      </w:r>
    </w:p>
    <w:p>
      <w:r>
        <w:t>FR: GE_GERICHTE A/1853/2023 du 6 février 2024</w:t>
      </w:r>
    </w:p>
    <w:p>
      <w:r>
        <w:t>IT: GE_GERICHTE A/1853/2023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 al. 1 et 62 al. 1 let. a de la loi sur la procédure administrative du 12 septembre 1985 - LPA - E 5 10).![endif]&gt;![if&gt;</w:t>
      </w:r>
    </w:p>
    <w:p>
      <w:r>
        <w:rPr>
          <w:b/>
        </w:rPr>
        <w:t>E. 2</w:t>
      </w:r>
    </w:p>
    <w:p>
      <w:r>
        <w:t>La recourante conclut préalablement à une tentative de conciliation, à sa comparution personnelle et à l’audition de témoins.![endif]&gt;![if&gt;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En outre, il n'implique pas le droit à l’audition orale ni à celle de témoins (ATF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la recourante a été entendue lors d’un entretien de service et a pu ensuite faire valoir ses arguments par écrit, alors qu’elle était en possession de toutes les pièces pertinentes de son dossier. Elle a pu également s’exprimer par écrit devant la chambre de céans et produire toutes pièces utiles et elle n’expose pas en quoi les enquêtes qu’elle sollicite seraient utiles à la solution du litige, ses contestations ayant déjà été recueillies par deux fois comme indiqué ci-dessus. Elle n’indique pas plus ce qu’elle pourrait ajouter oralement qui ne figurerait pas déjà dans ses diverses écritures. Les parties ont eu en outre l’occasion lors des échanges d’écritures de se déterminer de manière circonstanciée sur les prises de position de leur partie adverse. La chambre de céans considère ainsi être en possession d’un dossier complet, en état d’être jugé. Aussi, par appréciation anticipée des preuves, il ne sera pas donné une suite favorable aux demandes d’actes d’instruction formulées par la recourante. Vu la position adoptée par l’intimée, il n’y a pas lieu d’ordonner une tentative de conciliation, inutile.</w:t>
      </w:r>
    </w:p>
    <w:p>
      <w:r>
        <w:rPr>
          <w:b/>
        </w:rPr>
        <w:t>E. 3</w:t>
      </w:r>
    </w:p>
    <w:p>
      <w:r>
        <w:t>Le litige porte sur le bien-fondé de la décision de résiliation des rapports de service de la recourante.</w:t>
      </w:r>
    </w:p>
    <w:p>
      <w:r>
        <w:rPr>
          <w:b/>
        </w:rPr>
        <w:t>E. 3.1</w:t>
      </w:r>
    </w:p>
    <w:p>
      <w:r>
        <w:t>La recourante étant, au moment des faits, employée, il convient d’examiner si son licenciement est conforme aux règles applicables à la résiliation des rapports de service avec ce statut.</w:t>
      </w:r>
    </w:p>
    <w:p>
      <w:r>
        <w:rPr>
          <w:b/>
        </w:rPr>
        <w:t>E. 3.2</w:t>
      </w:r>
    </w:p>
    <w:p>
      <w:r>
        <w:t>Le personnel de la fonction publique se compose de fonctionnaires, d’employés, d’auxiliaires, d’agents spécialisés et de personnel en formation (art. 4 al. 1 LPAC). 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 - B 5 05.01)). L’art. 5A let. e du règlement d'application de la LTrait du 17 octobre 1979 (RTrait - B 5 15.01) précise que la période probatoire de deux ans peut être prolongée exceptionnellement d’un an au maximum en cas de prestations insuffisantes.</w:t>
      </w:r>
    </w:p>
    <w:p>
      <w:r>
        <w:rPr>
          <w:b/>
        </w:rPr>
        <w:t>E. 3.3</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 ATA/1620/2017 du 19 décembre 2017 consid. 6c et les arrêts cités).</w:t>
      </w:r>
    </w:p>
    <w:p>
      <w:r>
        <w:rPr>
          <w:b/>
        </w:rPr>
        <w:t>E. 3.4</w:t>
      </w:r>
    </w:p>
    <w:p>
      <w:r>
        <w:t>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 ATA/1008/2017 du 27 juin 2017 consid. 5c et les arrêts cités).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 La loi ne prévoit pas d'autres conditions pour le licenciement d'employés. En particulier, contrairement aux fonctionnaires, elle ne requiert pas l’existence d'un motif fondé (art. 21 al. 1 LPAC ; art. 21 al. 3 et 22 a contrario LPAC), ni le respect du principe de reclassement (art. 21 al. 3 in fine LPAC et 46A du règlement d’application de la loi générale relative au personnel de l’administration cantonale, du pouvoir judiciaire et des établissements publics médicaux du 24 février 1999 [RPAC - B 5 05.01] ; ATA/590/2016 du 12 juillet 2016 consid. 4b et les références citées).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rPr>
          <w:b/>
        </w:rPr>
        <w:t>E. 3.5</w:t>
      </w:r>
    </w:p>
    <w:p>
      <w:r>
        <w:t>La mésentente entre collaborateurs ne peut pas être assimilée à un problème d'organisation du travail engageant la responsabilité de l'employeur.</w:t>
      </w:r>
    </w:p>
    <w:p>
      <w:r>
        <w:rPr>
          <w:b/>
        </w:rPr>
        <w:t>E. 3.6</w:t>
      </w:r>
    </w:p>
    <w:p>
      <w:r>
        <w:t>En l’espèce, la recourante affirme que son licenciement serait arbitraire et violerait le principe de la proportionnalité. Il ressort toutefois du dossier que si sur le plan technique, la recourante donnait satisfaction, tel n’était pas le cas s’agissant de son comportement, de sa communication et de son attitude vis-à-vis de ses collègues, même d’autres services, et surtout des stagiaires. Certes, la première évaluation de la recourante, de trois mois, était positive, mais la seconde mentionnait déjà des carences de communication. Or, c’est après cette évaluation et la réception des commentaires de la recourante qu’il est apparu que son comportement posait problème. Comme il ressort du dossier, notamment du rapport de la cheffe du SEGED et de l’audition de huit collaborateurs de son service et du service annexe, l’attitude de la recourante se trouvait au centre de situations problématiques. Elle pouvait adopter des comportements méprisants, humiliants et agressifs, ce que les témoins ont rapporté de manière concordante. Elle avait dénigré des stagiaires et se comportait comme une cheffe qu’elle n’était pas. Contre cette convergence de dépositions, la recourante conteste tout comportement inadéquat et invoque l’inaction ou la passivité de ses supérieurs face à ses souffrances, ainsi que le commérage de son binôme, sans toutefois apporter quelque consistance à ses convictions et récriminations. Rien de tel ne ressortant de la procédure, il ne saurait en être tenu compte. Au vu de ce qui précède, l’autorité intimée a, au-delà de ses obligations de motivation du licenciement, formulé des reproches manifestement fondés qui, compte tenu de son large pouvoir d’appréciation, lui permettaient de retenir que le licenciement de son employée s’imposait pour les besoins du service et sa bonne marche, ce qui constituait le seul moyen adéquat, une réintégration, pour autant qu’elle soit possible, n’étant manifestement pas envisageable au regard des reproches mis en évidence. Par conséquent, le licenciement est justifié et prononcé sans arbitraire ni violation du principe de la proportionnalité. Entièrement mal fondé, le recours sera rejeté.</w:t>
      </w:r>
    </w:p>
    <w:p>
      <w:r>
        <w:rPr>
          <w:b/>
        </w:rPr>
        <w:t>E. 4</w:t>
      </w:r>
    </w:p>
    <w:p>
      <w:r>
        <w:t>Vu l’issue du litige, un émolument de CHF 1'000.- sera mis à la charge de la recourante,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