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A/184/2011 vom 17. März 2011</w:t>
      </w:r>
    </w:p>
    <w:p>
      <w:r>
        <w:t>GE Cour de justice, 2011-03-17, FR</w:t>
      </w:r>
    </w:p>
    <w:p>
      <w:r>
        <w:rPr>
          <w:b/>
        </w:rPr>
        <w:t xml:space="preserve">Quelle: </w:t>
      </w:r>
      <w:r>
        <w:t>https://mcp.opencaselaw.ch/entscheid/ge_gerichte_A_184_2011</w:t>
      </w:r>
    </w:p>
    <w:p>
      <w:r>
        <w:t>FR: GE_GERICHTE A/184/2011 du 17 mars 2011</w:t>
      </w:r>
    </w:p>
    <w:p>
      <w:r>
        <w:t>IT: GE_GERICHTE A/184/2011 del 17 marzo 2011</w:t>
      </w:r>
    </w:p>
    <w:p>
      <w:pPr>
        <w:pStyle w:val="Heading2"/>
      </w:pPr>
      <w:r>
        <w:t>Regeste</w:t>
      </w:r>
    </w:p>
    <w:p>
      <w:r>
        <w:t>Réquisition de poursuite. Commandement de payer. Dépens. | Dans le délai imparti, le poursuivant a communiqué les coordonnées de son domicile à l'étranger. L'Office des poursuites est invité à corriger le commandement de payer, lequel n'est pas annulé. | LP.67</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un commandement de payer, soit une mesure attaquable par cette voie. Le plaignant, en tant que poursuivi, a qualité pour agir et sa plainte a été formée dans le délai utile et les formes prescrites (art. 9 al. 1 et 4 LaLP ; art. 65 LPA). Elle sera donc déclarée recevable.</w:t>
      </w:r>
    </w:p>
    <w:p>
      <w:r>
        <w:rPr>
          <w:b/>
        </w:rPr>
        <w:t>E. 2.1</w:t>
      </w:r>
    </w:p>
    <w:p>
      <w:r>
        <w:t>Une réquisition de poursuite doit énoncer notamment le nom et le domicile du créancier et, le cas échéant, de son représentant (art. 67 al. 1 ch. 1 LP) ; ces mentions sont reprises dans le commandement de payer (art. 69 al. 2 ch. 1 LP). Le domicile réel du poursuivant doit être mentionné, même en cas de représentation. Il importe que la désignation du poursuivant soit claire et certaine, non équivoque et excluant tout doute sur son identité. L'office des poursuites doit refuser de donner suite à la réquisition de poursuite si l'indication du domicile manque, même si l'identité du poursuivant n'est pas douteuse. Si le commandement de payer a néanmoins été rédigé et notifié malgré cette omission, il n'y a toutefois pas de raison de le considérer comme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(Pierre-Robert Gilliéron , Commentaire, ad art. 67 n° 18 ss et les réf. citées ; Sabine Kofmel Ehrenzeller , in SchKG I, ad art. 67 n° 28 in initio ; ATF 120 III 60 consid. 2 ; Roland Ruedin , CR-LP, ad art. 67 n° 16 et 17 ; ATF 114 III 62 , résumé in JdT 1990 II 182). En l'espèce, le poursuivant, par l'entremise de son avocat, a, dans le délai qui lui avait été imparti, communiqué l'adresse de son domicile à B______.</w:t>
      </w:r>
    </w:p>
    <w:p>
      <w:r>
        <w:rPr>
          <w:b/>
        </w:rPr>
        <w:t>E. 2.2</w:t>
      </w:r>
    </w:p>
    <w:p>
      <w:r>
        <w:t>La plainte sera en conséquence rejetée dans la mesure où elle tend à l'annulation du commandement de payer, poursuite n° 10 xxxx25 A, et l'Office sera invité à corriger cet acte en mentionnant le domicile du poursuivant.</w:t>
      </w:r>
    </w:p>
    <w:p>
      <w:r>
        <w:rPr>
          <w:b/>
        </w:rPr>
        <w:t>E. 3</w:t>
      </w:r>
    </w:p>
    <w:p>
      <w:r>
        <w:t>. Conformément aux art. 20a al. 2 ch. 5 LP, 61 al. 2 let. a et 62 al. 2 OELP, il n'y a pas lieu de percevoir d'émolument de justice, ni d'allouer des dépens. * * * * * PAR CES MOTIFS, L'Autorité de surveillance : A la forme : Déclare recevable la plainte formée par M. A______ contre le commandement de payer, poursuite n° 10 xxxx25 A. Au fond : La rejette. Déboute les parties de toutes autres conclusions. Siégeant : Madame Ariane WEYENETH, présidente ; Messieurs Philipp GANZONI et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