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A/1849/2007 vom 26. November 2007</w:t>
      </w:r>
    </w:p>
    <w:p>
      <w:r>
        <w:t>GE Cour de justice, 2007-11-26, FR</w:t>
      </w:r>
    </w:p>
    <w:p>
      <w:r>
        <w:rPr>
          <w:b/>
        </w:rPr>
        <w:t xml:space="preserve">Quelle: </w:t>
      </w:r>
      <w:r>
        <w:t>https://mcp.opencaselaw.ch/entscheid/ge_gerichte_A_1849_2007</w:t>
      </w:r>
    </w:p>
    <w:p>
      <w:r>
        <w:t>FR: GE_GERICHTE A/1849/2007 du 26 novembre 2007</w:t>
      </w:r>
    </w:p>
    <w:p>
      <w:r>
        <w:t>IT: GE_GERICHTE A/1849/2007 del 26 novembre 2007</w:t>
      </w:r>
    </w:p>
    <w:p>
      <w:pPr>
        <w:pStyle w:val="Heading2"/>
      </w:pPr>
      <w:r>
        <w:t>Regeste</w:t>
      </w:r>
    </w:p>
    <w:p>
      <w:r>
        <w:t>; AI(ASSURANCE) ; EXPERTISE ; FORCE PROBANTE ; COMPARAISON DES REVENUS ; ÉVALUATION DE L'INVALIDITÉ | LPGA8; LAI4</w:t>
      </w:r>
    </w:p>
    <w:p>
      <w:pPr>
        <w:pStyle w:val="Heading2"/>
      </w:pPr>
      <w:r>
        <w:t>Erwägungen</w:t>
      </w:r>
    </w:p>
    <w:p>
      <w:r>
        <w:rPr>
          <w:b/>
        </w:rPr>
        <w:t>E. 8</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Les données médicales constituent un élément utile pour déterminer quels travaux on peut encore, raisonnablement, exiger de l’assuré (ATF 125 V 261 consid. 4, 115 V 134 consid. 2, 114 V 314 consid. 3c, 105 V 158 consid. 1). En outre, les organes d’observation professionnelle ont pour fonction de compléter les données médicales en examinant concrètement dans quelle mesure l’assuré est à même de mettre en valeur une capacité de travail et de gain sur le marché du travail (voir, à propos du rôle des COPAI pour l’évaluation de l’invalidité : L’instruction des possibilités de gain des personnes prétendant une rente, compte-rendu d’une séance du 10 novembre 1989 consacrée aux problèmes de l’expertise médicale et professionnelle, in : RCC 1990 p. 59 ss ; Karl Abegg, Coup d’œil sur l’activité des centres d’observation professionnelle de l’AI [COPAI], in : RCC 1985 p. 246 ss). Dans le cas où ces appréciations divergent sensiblement, il incombe à l’administration, respectivement au juge, de confronter les deux appréciations, au besoin de requérir un complément d’instruction. (ATFA du 11 avril 2005 - I 277/04). 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d)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En l'espèce, le Dr L__________, sur mandat de l’administration, a rendu une expertise médicale aux termes de laquelle il conclut à une capacité de travail de 50 %, soit quatre heures par jour, dans l’activité habituellement exercée, celle-ci devant être effectuée plus lentement, avec charge diminuée en temps et en intensité et en évitant les escaliers et l’élévation du membre supérieur droit au dessus de l’horizontale. Il existait une diminution du rendement qui était intégrée dans l’évolution de l’invalidité (de 50 %). S’agissant d’une autre activité adaptée, il a exclu toute activité purement manuelle en raison de l’absence de condition physique conservée et a réservé une activité à 100 % de petite manutention, moyennant la possibilité d’interrompre toutes positions incommodes et/ou immobiles prolongées, si l'assurance-invalidité était en mesure de trouver une telle activité. Cette expertise remplit toutes les exigences jurisprudentielles pour qu’il lui soit reconnu une pleine valeur probante. Le stage de la Fondation PRO a permis ensuite de préciser, en pratique, la capacité résiduelle de la recourante dans une activité de manutentions légères physiquement et peu techniques. Cette observation a permis de confirmer l'appréciation du Dr L__________, soit la présence de douleurs variables et imprévisibles (irrégularité des symptômes et survenance de douleurs violentes au membre supérieur droit selon le Dr L__________) entraînant un rendement moyen de 50 %. Ainsi, même si l’on retient une activité possible à 100 % de manutention légère, il ressort des observations du Dr L__________ (nécessité d’interruptions de toutes positions incommodes et/ou immobiles prolongées et irrégularité des symptômes) et des constatations de la Fondation PRO, que le rendement n’est pas plus élevé que 50 %. Il n’y a ainsi pas lieu de s’écarter de cette appréciation, les organes d’observations professionnelles ayant dans le cas d’espèce complété les données médicales en examinant concrètement dans quelle mesure la recourante est à même de mettre en valeur sa capacité de travail résiduelle et permis de confirmer l’appréciation de l’expert, conformément à la jurisprudence précitée sur le rôle des organes d’observations professionnelles (consid. 8a)). Pour le surplus, l’appréciation du Dr M__________ du SMR n’est pas convaincante. En effet, la diminution de rendement a été estimée par ce médecin à 30 %, sans aucune motivation. En outre, ce dernier a évalué la capacité de travail de 70 % au 1 er août 2003, soit trois mois après la survenance de la problématique à l’épaule droite de la recourante, sans expliquer pourquoi, à cette date-là, l’état de santé de la recourante se serait amélioré du point de vue des affections lombaires et du genou, amélioration évoquée par le Dr L__________ mais sans précision de la date de sa survenance. Quoiqu’il en soit, la question de la preuve médicale de l’amélioration de l’état de santé de la recourante au-delà d’août 2003 peut en l’occurrence rester ouverte dès lors que, si l’on se fonde sur les conclusions du Dr L__________, soit une capacité de travail de 50 % dès août 2003, la recourante a encore droit comme il sera exposé ci-après à une rente entière de l’assurance-invalidité.</w:t>
      </w:r>
    </w:p>
    <w:p>
      <w:r>
        <w:rPr>
          <w:b/>
        </w:rPr>
        <w:t>E. 10</w:t>
      </w:r>
    </w:p>
    <w:p>
      <w:r>
        <w:t>a) Pour fixer le revenu sans invalidité de l'assurée, il faut établir ce que celle-ci aurait, au degré de la vraisemblance prépondérante, réellement pu obtenir en 2003, date déterminante pour la comparaison des revenus (art. 29 al. 1 let. b LAI; ATF 129 V 222 consid. 4.1 p. 223, 128 V 174 ), si elle n'était pas invalide. Le revenu sans invalidité doit être évalué de la manière la plus concrète possible; c'est pourquoi il se déduit en principe du salaire réalisé en dernier lieu par l'assuré avant l'atteinte à la santé, en tenant compte de l'évolution des salaires (Meyer-Blaser, Bundesgesetz über die Invalidenversicherung [IVG], 1997, p. 205-206). En l'espèce, le revenu sans invalidité a été fixé à 60'428 fr. en 2003, compte tenu des trois activités de nettoyage exercées par la recourante pour Y__________, Monsieur A__________ et X__________. Ce revenu, non contesté par la recourante, peut être confirmé. b) Pour déterminer le revenu d'invalide de l'assurée, il convient en l'absence d'un revenu effectivement réalisé de se référer aux données salariales, telles qu'elles résultent des enquêtes sur la structure des salaires publiées par l'Office fédéral de la statistique (ATF 126 V 75 consid. 3b/aa et bb p. 76). Compte tenu de l'activité de substitution que pourrait exercer l'assurée dans une activité légère de manutention dès août 2003, le salaire de référence est celui auquel peuvent prétendre les femmes effectuant des activités simples et répétitives (niveau de qualification 4) dans le secteur privé, soit en 2002, 3'820 fr. par mois ou 45'840 fr. annuellement (Enquête suisse sur la structure, des salaires 2002, p. 43, TA1). Comme les salaires bruts standardisés tiennent compte d'un horaire de travail de quarante heures, soit une durée hebdomadaire inférieure à la moyenne usuelle dans les entreprises en 2002 (41,7 heures; la Vie économique, 4/2007, p. 90, B 9.2), ce montant doit être porté à 47'788 fr. Après adaptation de ce chiffre à l'évolution des salaires selon l'indice des salaires nominaux pour les femmes de l'année 2003 (+ 1,7 %; Evolution des salaires en 2005, p. 31, T 1.2.93), on obtient un revenu annuel de 48'601 fr., qu'il convient de ramener à 24'300 fr. pour tenir compte de la capacité résiduelle de travail de 50 % de l'assurée. Conformément à la jurisprudence, il convient encore d'appliquer un facteur de réduction sur le salaire statistique qui tient compte de l'ensemble des circonstances personnelles et professionnelles du cas particulier (ATF 126 V 75 consid. 5 p. 78). Il ressort du dossier qu'en raison de la nature des limitations qu'elle subit, l'assurée ne peut plus effectuer qu'une activité légère à 50 %, ce qui la désavantage par rapport à des travailleuses en pleine possession de leur capacité de travail et susceptibles d'être engagées sur le champ. On doit de plus prendre en considération son âge (née en 1950) et son incapacité à lire et à écrire. Cela étant, une réduction de 20 % du salaire statistique apparaît en l'état justifiée, de sorte que le revenu d'invalide doit être fixé en définitive à 19'440 fr. c) La comparaison de ce dernier montant avec le revenu sans invalidité de 60'428 fr. conduit à un degré d'invalidité de 67,8 %, taux qui donne droit, dès le 1 er août 2003, à une rente entière de l'assurance-invalidité. Pour ces raisons, c’est à tort que l’intimé a diminué la rente entière d’invalidité de la recourante à un quart de rente au 1 er novembre 2003 (en application de l'art. 88a RAI), le taux de la rente n'étant pas diminué depuis le 1 er août 2003. Enfin, la rente entière perdure au-delà du 1 er janvier 2004 en application des dispositions finales de la quatrième révision de l'AI dès lors que la recourante a atteint l'âge de 50 ans au 1 er janvier 2004.</w:t>
      </w:r>
    </w:p>
    <w:p>
      <w:r>
        <w:rPr>
          <w:b/>
        </w:rPr>
        <w:t>E. 11</w:t>
      </w:r>
    </w:p>
    <w:p>
      <w:r>
        <w:t>Le recours sera en conséquence admis et la décision du 19 avril 2007 réformée en ce sens que la recourante a droit à une rente entière de l’assurance-invalidité dès le 1 er juin 2003. Une indemnité de 2'000 fr. sera allouée à la recourante à charge de l'intimé.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de sorte qu'un émolument de 200 fr. sera mis à la charge de l'OCAI.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