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A/1847/2005 vom 7. April 2005</w:t>
      </w:r>
    </w:p>
    <w:p>
      <w:r>
        <w:t>GE Cour de justice, 2005-04-07, FR</w:t>
      </w:r>
    </w:p>
    <w:p>
      <w:r>
        <w:rPr>
          <w:b/>
        </w:rPr>
        <w:t xml:space="preserve">Quelle: </w:t>
      </w:r>
      <w:r>
        <w:t>https://mcp.opencaselaw.ch/entscheid/ge_gerichte_A_1847_2005</w:t>
      </w:r>
    </w:p>
    <w:p>
      <w:r>
        <w:t>FR: GE_GERICHTE A/1847/2005 du 7 avril 2005</w:t>
      </w:r>
    </w:p>
    <w:p>
      <w:r>
        <w:t>IT: GE_GERICHTE A/1847/2005 del 7 aprile 2005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w:t>
      </w:r>
    </w:p>
    <w:p>
      <w:r>
        <w:rPr>
          <w:b/>
        </w:rPr>
        <w:t>E. 3</w:t>
      </w:r>
    </w:p>
    <w:p>
      <w:r>
        <w:t>En l’espèce, le juge de première instance a ordonné le partage par moitié des avoirs de prévoyance des époux. Les dates pertinentes sont, d’une part, celle du mariage, le 28 novembre 1985, d’autre part le 31 août 2005, date à laquelle le jugement de divorce est devenu exécutoire. Selon les documents produits, la prestation acquise pendant le mariage par le demandeur est de Fr. 252'515.10. Il doit donc à son ex-épouse le montant de Fr. 126'257.55. Quant à la demanderesse, son avoir s'élève à Fr. 1'452.-. Elle doit donc au demandeur la somme de Fr. 726.-, si bien qu'en définitive, c'est lui qui lui doit Fr. 125'531.55 (126'257.55 - 726).</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