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A/1835/2021 vom 30. Juni 2022</w:t>
      </w:r>
    </w:p>
    <w:p>
      <w:r>
        <w:t>GE Cour de justice, 2022-06-30, FR</w:t>
      </w:r>
    </w:p>
    <w:p>
      <w:r>
        <w:rPr>
          <w:b/>
        </w:rPr>
        <w:t xml:space="preserve">Quelle: </w:t>
      </w:r>
      <w:r>
        <w:t>https://mcp.opencaselaw.ch/entscheid/ge_gerichte_A_1835_2021</w:t>
      </w:r>
    </w:p>
    <w:p>
      <w:r>
        <w:t>FR: GE_GERICHTE A/1835/2021 du 30 juin 2022</w:t>
      </w:r>
    </w:p>
    <w:p>
      <w:r>
        <w:t>IT: GE_GERICHTE A/1835/2021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 Le 1 er janvier 2021 est entrée en vigueur la modification du 21 juin 2019 de la LPGA.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Déposé après le 1 er janvier 2021, le recours sera donc traité sous l'angle du nouveau droit de la LPGA (cf. ATAS/360/2021 du 15 avril 2021 consid. 3).</w:t>
      </w:r>
    </w:p>
    <w:p>
      <w:r>
        <w:rPr>
          <w:b/>
        </w:rPr>
        <w:t>E. 3</w:t>
      </w:r>
    </w:p>
    <w:p>
      <w:r>
        <w:t>Par ailleurs, le 1 er janvier 2022, sont entrées en vigueur les modifications de la LAI du 19 juin 2020 (développement continu de l’AI ; RO 2021 705).![endif]&gt;![if&gt;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datée du 17 mai 2021, a été rendue antérieurement au 1 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et 60 LPGA; art. 62 al. 1 de la de loi sur la procédure administrative du 12 septembre 1985 [LPA - E 5 10]). ![endif]&gt;![if&gt; Interjeté dans la forme (art. 61 let. b LPGA ; art. 89B LPA) et le délai prévus par la loi, le recours est recevable.</w:t>
      </w:r>
    </w:p>
    <w:p>
      <w:r>
        <w:rPr>
          <w:b/>
        </w:rPr>
        <w:t>E. 5</w:t>
      </w:r>
    </w:p>
    <w:p>
      <w:r>
        <w:t>Le litige porte sur le droit du recourant à une rente ordinaire de l’assurance-invalidité, singulièrement sur la réalisation des conditions d’assurance et la valeur probante du rapport du Dr D______ du 18 janvier 2021.![endif]&gt;![if&gt;</w:t>
      </w:r>
    </w:p>
    <w:p>
      <w:r>
        <w:rPr>
          <w:b/>
        </w:rPr>
        <w:t>E. 6.1</w:t>
      </w:r>
    </w:p>
    <w:p>
      <w:r>
        <w:t>Selon l’art. 36 al. 1 LAI, a droit à une rente ordinaire l’assuré qui, lors de la survenance de l’invalidité, compte trois années au moins de cotisations. ![endif]&gt;![if&gt; La condition de la durée minimale de cotisations doit être remplie au moment de la survenance de l'invalidité. Les périodes accomplies après ce terme n'entrent pas en ligne de compte (RCC 1959, p. 449 ; voir également ch. 4205 de la directive sur les rentes - DR). L'art. 36 al. 2 LAI prévoit que la loi fédérale sur l'assurance vieillesse et survivants du 20 décembre 1946 (LAVS - RS 831.10) est applicable par analogie au calcul des rentes ordinaires.</w:t>
      </w:r>
    </w:p>
    <w:p>
      <w:r>
        <w:rPr>
          <w:b/>
        </w:rPr>
        <w:t>E. 6.2</w:t>
      </w:r>
    </w:p>
    <w:p>
      <w:r>
        <w:t>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 ter al. 2 let. b LAVS), soit elle peut se prévaloir de bonifications pour tâches éducatives ou pour tâches d'assistance (art. 29 ter al. 2 let. c LAVS).</w:t>
      </w:r>
    </w:p>
    <w:p>
      <w:r>
        <w:rPr>
          <w:b/>
        </w:rPr>
        <w:t>E. 6.3.1</w:t>
      </w:r>
    </w:p>
    <w:p>
      <w:r>
        <w:t>A teneur de l’art. 1b LAI, sont assurées conformément à la LAI, les personnes qui sont assurées à titre obligatoire ou à titre facultatif en vertu des art. 1a et 2 LAVS. L’art. 1 a LAVS prévoit notamment que 1 Sont assurés conformément à la présente loi: a.     les personnes physiques domiciliées en Suisse;![endif]&gt;![if&gt; b.     les personnes physiques qui exercent en Suisse une activité lucrative;![endif]&gt;![if&gt; c.     ( ) ![endif]&gt;![if&gt; 1bis ( ) 2 Ne sont pas assurés: a.     les ressortissants étrangers qui bénéficient de privilèges et d'immunités, conformément aux règles du droit international public ;![endif]&gt;![if&gt; b.     ( )![endif]&gt;![if&gt; c.     ( )![endif]&gt;![if&gt; 3 ( ) 4 Peuvent adhérer à l'assurance: a.     ( )![endif]&gt;![if&gt; b.     les membres du personnel de nationalité suisse d'un bénéficiaire institutionnel de privilèges, d'immunités et de facilités visé à l'art. 2, al. 1, de la loi du 22 juin 2007 sur l'Etat hôte, qui ne sont pas obligatoirement assurés en Suisse en raison d'un accord conclu avec ledit bénéficiaire;![endif]&gt;![if&gt; c.     ( )![endif]&gt;![if&gt; 5 ( ) L’art. 1b let. c RAVS précise que Sont considérés comme ressortissants étrangers bénéficiant de privilèges et d'immunités au sens de l'art. 1a, al. 2, let. a, LAVS, les personnes bénéficiaires visées à l'art. 2, al. 2, let. a, de la loi du 22 juin 2007 sur l'Etat hôte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loi sur l'Etat hôte.</w:t>
      </w:r>
    </w:p>
    <w:p>
      <w:r>
        <w:rPr>
          <w:b/>
        </w:rPr>
        <w:t>E. 6.3.2</w:t>
      </w:r>
    </w:p>
    <w:p>
      <w:r>
        <w:t>Selon les Directives sur l’assujettissement aux assurances AVS et AI (DAA), les fonctionnaires internationaux de nationalité suisse ne sont plus assurés à l’AVS/Al/APG et AC dès leur affiliation au système de prévoyance de l’organisation internationale (ch. 3056). Ils ont toutefois la possibilité d’adhérer sur une base volontaire soit à l’AVS/AI/APG/AC, soit à l’AC (ch. 3058). En revanche, les fonctionnaires internationaux étrangers ne sont pas assurés à l’AVS/Al/APG/AC et ne peuvent pas y adhérer volontairement (ch. 3068).</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7.2</w:t>
      </w:r>
    </w:p>
    <w:p>
      <w:r>
        <w:t>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w:t>
      </w:r>
    </w:p>
    <w:p>
      <w:r>
        <w:rPr>
          <w:b/>
        </w:rPr>
        <w:t>E. 7.3</w:t>
      </w:r>
    </w:p>
    <w:p>
      <w:r>
        <w:t>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 ème anniversaire (Circulaire sur l’invalidité et l’impotence dans l’assurance-invalidité établi par l’Office fédéral des assurances sociales, dans son état au 1 er janvier 2021 [CIIAI], ch. 1030 et les références). L’événement assuré n’est pas réputé survenu tant que l’assuré perçoit une indemnité journalière durant le délai d’attente (art. 18 al. 1 et 2 RAI) et pendant qu’il se soumet à des mesures de réadaptation (CIIAI, ch. 1031). La survenance du cas d’assurance correspond, en règle générale, à l’ouverture du droit à la rente. L’ouverture du droit à une rente peut cependant déroger à cette règle, par ex. lors d’une demande tardive (CIIAI, ch. 1034). La CIIAI a été abrogée et remplacée, dès le 1 er janvier 2022, par la Circulaire sur l’invalidité et les rentes dans l’assurance-invalidité (CIRAI).</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l’intimé a nié le droit du recourant à une rente d’invalidité, au motif, d’une part, que celui-ci ne remplissait pas les conditions d’assurance lors de la survenance de son invalidité et, d’autre part, qu’il n’était pas invalide, dès lors qu’il aurait de toute manière exercé une activité adaptée.![endif]&gt;![if&gt; Il ressort du dossier que le recourant est incapable de travailler depuis 2014 (demande de prestations déposée le 5 juin 2018 ; rapport du Dr C______ du 28 février 2014, attestation des Nations Unies évoquant une prestation d’invalidité depuis le 12 septembre 2014, ce qui sous-entend l’existence d’une incapacité durable antérieure). Aussi convient-il de retenir que l’invalidité du recourant, au sens de la perte de gain totale, est survenue à l’échéance du délai d’attente d’un an (art. 28 al. 1 let. b et c LAI), soit en 2015 au plus tard. Afin de pouvoir prétendre à une rente d’invalidité, le recourant doit avoir cotisé pendant trois ans au minimum lors de la survenance de l’invalidité en 2015 au plus tard. Or, force est de constater que tel n’est pas le cas selon le compte individuel du recourant, les premières cotisations datant de 2014. En réalité, le recourant a travaillé pour l’Organisation des Nations Unies, ce qu’il ne conteste du reste pas, jusqu’à une date qui ne ressort pas du dossier. En tant que fonctionnaire international, il était dès lors exempté du système de sécurité sociale suisse. Il ne ressort pas non plus du dossier qu’il se serait affilié volontairement lorsqu’il a acquis la nationalité suisse en décembre 2012. Le recourant ne l’allègue du reste pas. Par ailleurs, les éventualités envisagées à l’art. 29 ter al. 2 let. b et c LAVS ne sont pas déterminantes. En effet, il ressort du compte individuel de son épouse que celle-ci a également commencé à cotiser à l’AVS/AI en 2014 seulement, soit en même temps que le recourant. Lors de la survenance du cas d’assurance, à l’expiration du délai d’un an, en 2015 au plus tard, l’épouse du recourant n’avait donc pas encore cotisé trois ans. Quant aux bonifications pour tâches éducatives, elles ne peuvent pas non plus être prises en considération car ni le recourant ni son épouse n’étaient assurés conformément à la LAVS pendant trois ans lors de la survenance du cas d’assurance. Force est ainsi de constater que la durée minimale de cotisations pour ouvrir le droit à une rente ordinaire n’était pas remplie au moment de la survenance de l’invalidité du recourant, en 2014, voire 2015 au plus tard. En conséquence, c’est à juste titre que l’intimé a nié le droit du recourant à une rente ordinaire. On relèvera, à toutes fins utiles, que, dans ce cas, seule une rente extraordinaire d’invalidité peut entrer en considération, pour autant que les conditions de l’art. 42 LAVS (auquel renvoie l'art. 39 al. 1 LAI) soient remplies, ce qui n’est toutefois pas le cas du recourant. En effet, celui-ci, en travaillant pour les Nations Unies, compte une lacune d’assurance du fait de son non-assujettissement à l’AVS/AI pendant une certaine période de sa vie à compter du 1 er janvier 1980 (soit dès le 1 er janvier qui suit la date où il a eu 20 ans révolus [art. 3 al. 1 LAVS]). Aussi ne bénéficie-t-il pas du même nombre d’années d’assurance que les personnes de sa classe d’âge (cf. dans ce sens : ATAS/944/2018 du 17 octobre 2018 consid. 8-10). Dans la mesure où les conditions d’assurance font défaut, une expertise s’avère inutile, de sorte que la chambre de céans y renoncera par appréciation anticipée des preuves (cf. arrêt du Tribunal fédéral 4A_206/2007 du 29 octobre 2007 consid. 5.2 non publié aux ATF 133 III 675 ).</w:t>
      </w:r>
    </w:p>
    <w:p>
      <w:r>
        <w:rPr>
          <w:b/>
        </w:rPr>
        <w:t>E. 10</w:t>
      </w:r>
    </w:p>
    <w:p>
      <w:r>
        <w:t>Enfin, le recourant conclut à la prise en charge des frais médicaux nécessaires, selon lui, pour se prononcer sur son état de santé.![endif]&gt;![if&gt;</w:t>
      </w:r>
    </w:p>
    <w:p>
      <w:r>
        <w:rPr>
          <w:b/>
        </w:rPr>
        <w:t>E. 10.1</w:t>
      </w:r>
    </w:p>
    <w:p>
      <w:r>
        <w:t>A teneur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le ch. 3145 de la Circulaire sur la procédure dans l’assurance-invalidité (CPAI), en vigueur depuis le 1 er janvier 2022 (ch. 2119 de la CPAI en vigueur du 1 er janvier 2018 au 31 décembre 2021), les frais des mesures d’instruction qui ont été exécutées sans un ordre exprès de l’office AI ne sont pris en charge par l’assurance-invalidité que si ces mesures étaient indispensables pour décider de l’octroi de prestations ou à l’appréciation du cas (il en va ainsi d’examens médicaux spéciaux comme les électroencéphalogrammes, les examens du sang, etc., arrêt du Tribunal fédéral 9C_764/2014 du 21 juillet 2015) ou faisaient partie intégrante de mesures de réadaptation accordées après coup (par ex. des contrôles médicaux en tant qu’élément d’une mesure médicale de réadaptation) (art. 78 al. 3 RAI ; arrêt du Tribunal fédéral 9C_921/2013 du 24 février 2014, RCC 1972, p. 228).</w:t>
      </w:r>
    </w:p>
    <w:p>
      <w:r>
        <w:rPr>
          <w:b/>
        </w:rPr>
        <w:t>E. 10.2</w:t>
      </w:r>
    </w:p>
    <w:p>
      <w:r>
        <w:t>En l’espèce, le recourant sollicite la prise en charge des frais relatifs à l’IRM de la colonne cervicale réalisée le 16 mars 2021 ainsi que les honoraires des Drs E______ et F______, concernant des consultations des 8 et 15 mars 2021, vraisemblablement en lien avec cette IRM. Force est de constater que ces examens ont été effectués sans ordre exprès de l’OAI, de sorte que leur prise en charge ne peut se faire qu’à la condition qu’ils étaient indispensables pour se prononcer sur l’octroi de prestations ou pour procéder à l’appréciation du cas. Or, dans la mesure où les conditions d’assurance ne sont pas réalisées, une instruction médicale n’était de toute évidence pas nécessaire. Cela étant, même si les conditions d’assurance étaient données, la réalisation d’une IRM n’était pas indispensable pour que l’OAI puisse se prononcer sur le cas du recourant. En effet, l’expert mandaté par l’intimé a retenu, dans son rapport du 18 janvier 2021, une cervicodiscarthrose pluriétagée principalement en C5-C6 et C6-C7 sur ou sans conflit disco-radiculaire, ce qui rejoint les conclusions de l’IRM de la colonne cervicale réalisées le 16 mars 2021. Compte tenu de ce diagnostic, l’expert a d’ailleurs retenu des limitations fonctionnelles d’épargne du dos (alternance des positions assise, debout et marche sur de courtes distances ; pas de port de charges de plus de 5 à 10 kg ; pas de position en flexion ou extension de la nuque, pas d’activité avec les bras en position au-dessus du plan des épaules, ni en position de porte à faux du rachis, ni en position à genoux ou accroupi ; pas de mouvement répétitif de flexion/extension et rotation du dos). En d’autres termes, la mesure d’instruction dont la prise en charge par l’OAI est réclamée par le recourant portait sur une atteinte déjà retenue par l’expert dans l’appréciation de la capacité de travail du recourant. Partant, le recourant ne saurait prétendre à la prise en charge des frais médicaux.</w:t>
      </w:r>
    </w:p>
    <w:p>
      <w:r>
        <w:rPr>
          <w:b/>
        </w:rPr>
        <w:t>E. 11</w:t>
      </w:r>
    </w:p>
    <w:p>
      <w:r>
        <w:t>Au vu de ce qui précède, le recours sera rejeté.![endif]&gt;![if&gt; Le recourant, bien qu’ayant été représenté par un mandataire professionnellement qualifié, n’a pas droit à une indemnité de procédure dans la mesure où elle succombe (art. 61 let. g LPGA a contrario). La procédure n'étant pas gratuite (art. 69 al. 1bis LAI), il y a lieu de condamner le recourant au paiement d'un émolument de CHF 200.-.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