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A/1834/2022 vom 1. Juni 2023</w:t>
      </w:r>
    </w:p>
    <w:p>
      <w:r>
        <w:t>GE Cour de justice, 2023-06-01, FR</w:t>
      </w:r>
    </w:p>
    <w:p>
      <w:r>
        <w:rPr>
          <w:b/>
        </w:rPr>
        <w:t xml:space="preserve">Quelle: </w:t>
      </w:r>
      <w:r>
        <w:t>https://mcp.opencaselaw.ch/entscheid/ge_gerichte_A_1834_2022</w:t>
      </w:r>
    </w:p>
    <w:p>
      <w:r>
        <w:t>FR: GE_GERICHTE A/1834/2022 du 1 juin 2023</w:t>
      </w:r>
    </w:p>
    <w:p>
      <w:r>
        <w:t>IT: GE_GERICHTE A/1834/2022 del 1 giugno 2023</w:t>
      </w:r>
    </w:p>
    <w:p>
      <w:pPr>
        <w:pStyle w:val="Heading2"/>
      </w:pPr>
      <w:r>
        <w:t>Erwägungen</w:t>
      </w:r>
    </w:p>
    <w:p>
      <w:r>
        <w:rPr>
          <w:b/>
        </w:rPr>
        <w:t>E. 16</w:t>
      </w:r>
    </w:p>
    <w:p>
      <w:r>
        <w:t>novembre 2011 au 31 décembre 2013, et entière – notamment dans l’ancienne activité de monitrice de fitness – à partir du 1 er janvier 2014, puis a considéré, le 9 juillet 2018, qu’au vue d’une atteinte incapacitante nouvelle (séquelles d’entorse de la cheville gauche en juin 2016), la nouvelle appréciation de la capacité de travail qui s’imposait pour l’activité habituelle de monitrice de fitness (capacité nulle du 16 novembre 2011 au 31 décembre 2013, entière du 1 er janvier 2014 au 31 mai 2016 puis à nouveau nulle dès le 1 er juin 2016) ne changeait rien à la pleine exigibilité d’une activité adaptée dès le 1 er janvier 2014, soit une activité n’impliquant ni sollicitation répétée de la cheville gauche, ni travail en terrain instable, ni sauts, ni déplacements latéraux. Il ressort en outre de la procédure A/2309/2019 que la chambre de céans, après avoir reconnu la valeur probante du rapport d’expertise neurologique du 9 février 2018 du Dr K______, a confirmé – dans son principe – la décision de refus de rente du 21 mai 2019 de l’OAI mais néanmoins admis (très) partiellement le recours en retenant que la recourante avait droit à une rente entière d’invalidité, limitée dans le temps, du 1 er février 2013 au 31 mars 2014 (cf. l’arrêt ATAS/321/2020 du 30 avril 2020, entré en force). ![endif]&gt;![if&gt; Après que l'intimée a reconnu, le 17 février 2020, qu’elle était l’assureur de l’employeur et demandé au Dr O______ de donner son appréciation, ce dernier a estimé que les diagnostics présentant un lien de causalité naturel avec l’accident du 16 novembre 2011 concernaient, sur le plan neurologique, les séquelles du TCC mais qu’en raison de « l’incohérence manifeste » du bilan neuropsychologique de 2017, le seul trouble démontré consistait dans les risques d’épilepsie qui étaient maîtrisés – car sous traitement depuis la dernière crise de 2013 –, de sorte qu’il n’y avait ni atteinte à l’intégrité, ni incapacité de travail, celle-ci étant entière dans toute activité depuis le 1 er janvier 2014, le rapport d’expertise du 9 février 2018 du Dr K______ étant toujours d’actualité. Sur le plan somatique, les suites de l’entorse de la cheville gauche du 7 mars 2013 n’empêchaient pas l’exercice d’une activité adaptée (travail sans effort physique et plutôt semi-assis) dès le 1 er janvier 2014 et n’entraînaient pas non plus d’atteinte à l’intégrité en dehors d’un risque d’arthrose secondaire au long cours qui n’était toutefois pas prévisible en l’état. La décision litigieuse se fonde sur l’avis du Dr O______ et l’expertise du Dr K______ pour mettre fin aux prestations provisoires (indemnités journalières et traitement médical) au 31 décembre 2013 et nier le droit à toutes autres prestations, hormis le traitement médical associé aux complications tardives de la cheville du 28 août 2015 au 13 novembre 2017. Pour sa part, la recourante s’appuie sur le rapport d’expertise neurologique du 20 janvier 2023 du Dr P______ pour conclure à l’octroi, non seulement d’une rente, mais aussi d’une IPAI. Dans ces conditions, il convient d’examiner tout d’abord la valeur probante des rapports sur lesquels l’intimée se fonde pour nier le droit à une rente d’invalidité (ci-après : consid. 11.2) et à une IPAI (consid. 11.3), notamment en confrontant ceux-ci au rapport d’expertise privée du 30 janvier 2023 du Dr P______. L’expertise privée de ce médecin – qui se fonde sur des éléments partiellement nouveaux (bilan neuropsychologique dès septembre 2022, IRM cérébrale du 22 septembre 2022) - étant postérieure à la décision litigieuse du 3 mai 2022, elle sort en principe de l’objet du litige.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Toutefois,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 2e éd., 1983, p. 43) et les droits procéduraux des parties doivent être respectés (Ulrich MEYER/ 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En l’occurrence, ces conditions sont toutes remplies : on constate en effet que les questions sur lesquelles le Dr P______ s’est prononcé se recoupent avec celles – relatives à la capacité de travail et à l’IPAI – auxquelles le Dr O______ a répondu à la demande de l’intimée, de sorte que l’on peut parler d’un état de fait commun malgré la présence d’éléments nouveaux (bilan neuropsychologique dès septembre 2022 et IRM cérébrale du 22 septembre 2022) qui s’y ajoutent et apportent un éclairage nouveau sur des éléments préexistants au moment de la décision litigieuse (examens neuropsychologiques de 2017 et 2018 ; cf . ci-après : consid. 11.2). Comme par ailleurs, l’intimée s’est prononcée non seulement sur le droit à la rente et l’IPAI (dans la décision sur opposition litigieuse) mais aussi sur l’expertise privée du Dr P______ en soutenant, le 14 février 2023, que celle-ci n’apportait rien de nouveau par rapport à celle réalisée en 2018 par l’expert K______, il y a lieu de considérer que la cause est en état d’être jugée et que l’intimée a eu l’occasion de se déterminer sur un élargissement temporel de l’objet du litige. 11.2 Il ressort en synthèse du rapport d’expertise neurologique du 9 février 2018 du Dr K______ et de l’examen neuropsychologique que celui-ci a délégué à Mme L______ que les quelques plaintes neurologiques formulées encore actuellement et le résultat de l’examen neurologique – qui était sans anomalie significative – ne pouvaient être considérés comme la cause d’une incapacité de travail significative au terme d’une période d’un an maximum après l’événement accidentel et, sur le plan neuropsychologique, deux ans après cet événement, sans qu’il y ait de limitations fonctionnelles neurologiques ou neuropsychologiques au terme de cette période d’un an, respectivement deux ans. Dans son arrêt ATAS/321/2020 du 30 avril 2020, la chambre de céans avait relevé que l’expert K______ motivait cet écart d’un an par le fait que tant Mme L______ que M. J______ concluaient à des incohérences et éléments atypiques qui rendaient l’examen neuropsychologique non probant et ne permettaient donc pas de retenir une atteinte à la santé. Bien qu’elle ait reconnu la valeur probante de l’expertise du Dr K______ dans le cadre de l’arrêt du 30 avril 2020 précité, la chambre de céans n’en constate pas moins que le rapport d’expertise neurologique privée du 30 janvier 2023 du Dr P______ évoque, lui aussi, un « défaut d’effort » lors des examens neuropsychologiques de 2017, 2018 et 2022. Cependant, cet expert précise également que si ce défaut d’effort « peut » expliquer la péjoration des troubles cognitifs attentionnels et de mémoire par rapport aux examens neuropsychologiques de 2011 et 2012, il existe aussi d’autres facteurs pouvant expliquer cette évolution, à savoir le traitement antiépileptique en cours depuis 2013, les séquelles cérébrales sous-corticales révélées par l’IRM cérébrale du 22 septembre 2022 – séquelles dont l’origine médicamenteuse (traitement antiépileptique) et/ou migraineuse serait possible de son point de vue –, ainsi que l’état dépressif sous-jacent (cf. rapport d’expertise du 30 janvier 2023, p. 15-16). Par ailleurs, l’examen neurologique et neurocomportemental que l’expert P______ a effectué lui-même met en évidence des « troubles attentionnels dans la sphère visuelle et verbale, ainsi que des troubles mnésiques antérogrades verbaux en apprentissage » (cf. rapport d’expertise du 30 janvier 2023, p. 13). En outre, cet expert se démarque du Dr K______ en justifiant une incapacité de gain totale de la recourante dans toute activité au moyen des limitations fonctionnelles neurologiques suivantes :![endif]&gt;![if&gt; -     troubles sévères de la concentration ne permettant pas d’activité intellectuelle soutenue au-delà d’une heure consécutive ;![endif]&gt;![if&gt; -     troubles sévères de la mémoire verbale avec difficultés à retenir les informations à utiliser à l’avenir (antérograde) ;![endif]&gt;![if&gt; -     troubles modérés des capacités exécutives (planification, flexibilité) engendrant des difficultés à se positionner, à s’adapter à des situations nouvelles ou changeantes ;![endif]&gt;![if&gt; -     fatigue mentale et physique avec baisse de performance constatée objectivement lors de séances de tests de trois heures ;![endif]&gt;![if&gt; -     céphalées survenant 15-20 jours par mois.![endif]&gt;![if&gt; Par opposition, l’expert K______ est d’avis que, malgré une capacité de travail qu’il estimait à nouveau entière dans une « activité simple », (soit  une activité sédentaire, sans apprentissage mnésique important, relativement répétitive, bien encadrée) deux ans après l’accident du 16 novembre 2011, les incohérences observées lors des tests neuropsychologiques l’empêchaient de retenir une quelconque limitation fonctionnelle neurologique. La chambre de céans constate ainsi que, même si une « activité simple » (au sens précité) était une activité adaptée aux dires du Dr K______, le recouvrement d’une capacité de travail entière au 1 er janvier 2014 par la recourante ne dépendait pas, de l’avis de cet expert, du caractère simple d’une telle activité. Étant donné que les expertises des Drs K______ et P______ ont été établies – chacune à leur époque – sur la base d’un dossier complet, qu’elles tiennent compte des plaintes de l’expertisée, comportent une anamnèse, un examen clinique et que leurs conclusions sont motivées, la chambre de céans ne saurait départager les avis divergents de ces experts sur la base des critères formels évoqués, de sorte que la question de savoir si – et, le cas échéant, quand et dans quelle mesure – la recourante a recouvré une capacité de travail à la suite de l’accident du 16 novembre 2011 nécessite une surexpertise. Le point de savoir quel devra en être l’étendue fera l’objet de plus amples développements (ci-après : consid. 11.3 et 11.4). 11.3 En ce qui concerne l’octroi d’une IPAI, le Dr O______ a examiné la question au regard des séquelles neurologiques et orthopédiques du cas, soit des crises d’épilepsie, respectivement du « risque d’arthrose » à la cheville. En ce qui concerne la première de ces atteintes, la chambre de céans constate qu’il existe une divergence entre le Dr O______ et le Dr P______. Alors que le premier de ces médecins estime que les conditions d’octroi d’une IPAI ne seraient pas remplies (dans la mesure où les crises d’épilepsie ne se seraient plus déclarées après 2013), le second considère au contraire, en référence à l’annexe 3 OLAA, que même une épilepsie post-traumatique, sous médicamentation permanente sans crise, justifie l’octroi d’une IPAI de 30%. Par ailleurs, contrairement au Dr O______ qui, sans être neurologue, ne voit « rien d’objectif probant » sur le plan neurologique, le Dr P______ considère que le TCC et les céphalées de tension justifient aussi l’octroi d’une IPAI de 50%, respectivement 10%. Sur le plan orthopédique, la chambre de céans constate que dans son rapport du 23 septembre 2015 (pièce M5 intimée), le Dr H______ mentionne non pas un simple risque d’arthrose mais une « certaine arthrose post-traumatique déjà présente ». Or, le Dr O______ n’explique à aucun moment les raisons qui le poussent à s’écarter des constatations du Dr H______. Dans ces circonstances, l’expertise à mettre en œuvre ne saurait porter sur la seule question de l’incapacité de travail découlant des troubles présentant un lien de causalité avec l’événement du 16 novembre 2011 (ci-dessus : consid. 11.2). Elle devra comporter, outre un volet neurologique, un volet orthopédique et porter également sur la question de l’IPAI. ![endif]&gt;![if&gt; 11.4 Il reste à examiner si une telle expertise devrait également se voir adjoindre un volet psychiatrique. La recourante fait valoir à cet égard qu’à l’image du Dr K______, qui appelait un bilan psychiatrique de ses vœux en 2018, le Dr P______ estime lui aussi, dans sa récente expertise, qu’une évaluation psychiatrique est recommandée, la recourante présentant en effet, lors d’un screening par une échelle auto-administrée de la dépression et anxiété, « un score suggestif pour une dépression qui peut ultérieurement contribuer à une atteinte à l’intégrité » (cf. rapport d’expertise du 30 janvier 2023, p. 17). D’avis contraire, l’intimée estime, en substance, que l’absence évidente de causalité adéquate entre l’accident du 16 novembre 2011 et d’éventuels troubles psychiques devrait de toute manière conduire à considérer ceux-ci comme un phénomène indépendant de cet accident. ![endif]&gt;![if&gt; Il est vrai que dans son arrêt ATAS/321/2020 du 30 avril 2020, la chambre de céans avait considéré, dans le cadre du litige opposant la recourante à l’OAI, que la seule mention, de la part du Dr K______, qui n’est pas psychiatre, d’un « comportement [ ] très particulier » n’apparaissait pas suffisamment circonstanciée pour mettre en lumière une instruction lacunaire. Cependant, dans le contexte particulier de l’examen de la causalité des suites d’un TCC avec un accident assuré (ci-dessus : consid. 9.2), il s’agit en priorité d’effectuer des investigations dans les domaines neurologique, orthopédique, psychiatrique et, au besoin, neuropsychologique par des médecins spécialisés particulièrement au fait de ce genre de traumatismes. Par ailleurs, l’intimée semble ne pas tenir compte du fait qu’en raison des spécificités de la jurisprudence applicable en matière de traumatismes de type « coup du lapin » (et assimilés),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étant souligné que la manière d’analyser la causalité adéquate n’est pas la même selon que l’on se situe dans la première ou la seconde hypothèse (ci-dessus : consid. 9.2.2). En effet,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Nonobstant ce qui précède, même en présence d’un traumatisme de type « coup du lapin »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 11.5 La chambre de céans relève, enfin, que la décision litigieuse prend en charge le traitement médical associé aux complications tardives du 28 août 2015 au 13 novembre 2017, exclusivement, ce laps de temps correspondant peu ou prou à celui déterminé par le Dr O______ dans un courrier du 9 août 2021 à l’intimée (« 23.09.2015 au 13.11.2017 »), lui-même en contradiction avec la précédente appréciation de ce médecin du 2 août 2021, faisant état d’une stabilisation des troubles somatiques de la cheville « probablement depuis 2016, en l’absence de tout suivi depuis lors ». Si la thèse d’une rechute est effectivement corroborée par le rapport du 28 juin 2016 à l’OAI du Dr I______, il n’en reste pas moins que ce médecin a été consulté par la recourante avant le 28 août 2015, soit du 5 mai 2015 au 27 juillet 2015, période durant laquelle la recourante présentait des séquelles d’entorse de cheville grave selon ce médecin, entraînant une incapacité de travail complète dans l’activité habituelle d’enseignante de yoga et fitness (cf. ATAS/321/2020 , p. 10-11). Il apparaît donc douteux, en l’état de l’instruction, que le traitement des séquelles de l’entorse de la cheville gauche se limite aux consultations et traitements prescrits par le Dr H______ entre le 23 août 2015 et le 13 novembre 2017.![endif]&gt;![if&gt; 11.6 Il résulte de ce qui précède que, si l’on excepte les indemnités journalières - dont l’octroi du 19 novembre 2011 au 31 décembre 2013 n’est pas contesté en tant que tel mais demeure fonction de la date de stabilisation de l’état de santé au 1 er janvier 2014, laquelle reste encore à confirmer par l’expertise à venir - les prestations accordées et refusées par l’intimée dans la mesure fixée par la décision litigieuse reposent sur les appréciations dépourvues de valeur probante du Dr O______. Aussi est-il nécessaire, en application de l’art. 44 LPGA et des principes évoqués plus haut (consid. 11.4), que l’intimée mette en œuvre une expertise pluridisciplinaire dans les domaines neurologique, orthopédique, psychiatrique et, au besoin, neuropsychologique par des médecins spécialisés particulièrement au fait du genre de traumatisme subi (TCC grave) avant de rendre une nouvelle décision sur le droit aux prestations.![endif]&gt;![if&gt; 11.7 La recourante conclut également à ce que l’intimée soit condamnée à prendre en charge un traitement de physiothérapie au-delà du 31 décembre 2013. ![endif]&gt;![if&gt; C’est le lieu d’observer que la prise en charge d’un traitement suit en principe le sort des indemnités journalières (cf. art. 19 al. 1, 2 ème phr. LAA). Or, au regard des explications données à propos des indemnités journalières (cf. consid. 11.6 in initio ), il est prématuré, en l’état de l’instruction, d’apprécier le bien-fondé d’une éventuelle continuation de la prise en charge de séances de physiothérapie au-delà du 31 décembre 2013. 11.8 La recourante conclut, enfin, à la condamnation de l’intimée à prendre en charge les honoraires de son conseil pour la procédure d’opposition.![endif]&gt;![if&gt; Selon l’art. 52 al. 3 LPGA, la procédure d’opposition est gratuite. En règle générale, il ne peut être alloué de dépens. La seule exception retenue par la jurisprudence est celle de l’opposant qui, en cas de perte du procès, aurait pu prétendre à l’assistance judiciaire (ATF 140 V 116 consid. 3.3 ; 132 V 200 consid. 4.1 ; 130 V 570 consid. 2 ; Valérie DEFAGO-GAUDIN, in Dupont/Moser-Szeless [éd.], Commentaire romand de la LPGA, n. 38 ad art. 52 LGPA), ce qui n’est pas le cas de la recourante. Il s’ensuit qu’elle ne peut se voir octroyer de dépens pour la procédure d’opposition. 12. Le recours est donc partiellement admis, la décision sur opposition du 3 mai 2022 annulée et la cause renvoyée à l’intimée pour instruction complémentaire au sens des considérants et nouvelle décision.![endif]&gt;![if&gt; 13. Étant donné que la recourante obtient partiellement gain de cause dans la procédure de recours, une indemnité de CHF 2’500.- lui sera accordée à titre de participation à ses frais et dépens, à charge de l’intimée (art. 61 let. g LPGA ; art. 89H al. 3 LPA ; art. 6 du règlement sur les frais, émoluments et indemnités en procédure administrative du 30 juillet 1986 [RFPA – E 5 10.03]).![endif]&gt;![if&gt;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