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A/1830/2023 vom 5. Oktober 2023</w:t>
      </w:r>
    </w:p>
    <w:p>
      <w:r>
        <w:t>GE Cour de justice, 2023-10-05, FR</w:t>
      </w:r>
    </w:p>
    <w:p>
      <w:r>
        <w:rPr>
          <w:b/>
        </w:rPr>
        <w:t xml:space="preserve">Quelle: </w:t>
      </w:r>
      <w:r>
        <w:t>https://mcp.opencaselaw.ch/entscheid/ge_gerichte_A_1830_2023</w:t>
      </w:r>
    </w:p>
    <w:p>
      <w:r>
        <w:t>FR: GE_GERICHTE A/1830/2023 du 5 octobre 2023</w:t>
      </w:r>
    </w:p>
    <w:p>
      <w:r>
        <w:t>IT: GE_GERICHTE A/1830/2023 del 5 ottobre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830).![endif]&gt;![if&gt;</w:t>
      </w:r>
    </w:p>
    <w:p>
      <w:r>
        <w:rPr>
          <w:b/>
        </w:rPr>
        <w:t>E. 3</w:t>
      </w:r>
    </w:p>
    <w:p>
      <w:r>
        <w:t>Le délai de recours est de trente jours (art. 60 al. 1 LPGA ; art. 43 LPCC ; art. 62 al. 1 let. a de la loi sur la procédure administrative du 12 septembre 1985 [LPA‑GE - E 5 10] et art. 43 LPCC).![endif]&gt;![if&gt;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4</w:t>
      </w:r>
    </w:p>
    <w:p>
      <w:r>
        <w:t>Le litige porte sur le bien-fondé de la décision de l’intimé de rejeter la demande de remise de l’obligation de restituer la somme de CHF 1'769.-.![endif]&gt;![if&gt;</w:t>
      </w:r>
    </w:p>
    <w:p>
      <w:r>
        <w:rPr>
          <w:b/>
        </w:rPr>
        <w:t>E. 5</w:t>
      </w:r>
    </w:p>
    <w:p>
      <w:r>
        <w:t>![endif]&gt;![if&gt;</w:t>
      </w:r>
    </w:p>
    <w:p>
      <w:r>
        <w:rPr>
          <w:b/>
        </w:rPr>
        <w:t>E. 5.1</w:t>
      </w:r>
    </w:p>
    <w:p>
      <w:r>
        <w:t>S'agissant des prestations complémentaires fédérales, l’art. 25 al. 1 LPGA prévoit que celles indûment touchées doivent être restituées. La restitution ne peut être exigée lorsque l’intéressé était de bonne foi et qu’elle le mettrait dans une situation difficile (art. 25 al. 1 phr. 2 LPGA). L’art. 24 LPCC applicable en matière de prestations complémentaires familiales prévoit un régime similaire.![endif]&gt;![if&gt;</w:t>
      </w:r>
    </w:p>
    <w:p>
      <w:r>
        <w:rPr>
          <w:b/>
        </w:rPr>
        <w:t>E. 5.2</w:t>
      </w:r>
    </w:p>
    <w:p>
      <w:r>
        <w:t>De la même manière, au niveau cantonal, l'art. 24 al. 1 1 ère phr. LPCC prévoit que les prestations indûment touchées doivent être restituées. La restitution ne peut être exigée lorsque l'intéressé était de bonne foi et qu'elle le mettrait dans une situation difficile.![endif]&gt;![if&gt;</w:t>
      </w:r>
    </w:p>
    <w:p>
      <w:r>
        <w:rPr>
          <w:b/>
        </w:rPr>
        <w:t>E. 5.3</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Aux termes de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5.4</w:t>
      </w:r>
    </w:p>
    <w:p>
      <w:r>
        <w:t>La question de savoir si la condition de la bonne foi, présumée en règle générale (art. 3 du Code civil suisse, du 10 décembre 1907 -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précité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P 17/03 du 3 février 2004 consid. 4.1) ou dans celui d’un assuré qui n’avait pas communiqué les revenus liés à sa nouvelle activité salariée (arrêt du Tribunal fédéral P 32/06 du 14 novembre 2006 consid. 4.3). En règle générale, les bénéficiaires peuvent se prévaloir de leur bonne foi lorsqu’ils se sont conformés à leur obligation de renseigner ou d’annoncer et à leurs autres devoir légaux de collaboration (Ulrich MEYER-BLASER, Die Rückerstattung von Sozialversicherungsleistungen, ZBJV 1995 p. 481).</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 SPC fait valoir que la condition de la bonne foi n’est pas réalisée dans la mesure où le recourant a violé son obligation d’annoncer et n’a pas vérifié les éléments pris en compte par l’administration pour calculer son droit aux prestations.![endif]&gt;![if&gt; Le recourant reconnaît n’avoir pas communiqué au SPC les décisions de l’OCLPF, ce qu’il justifie par le fait qu’il était préoccupé par l’état de santé de ses parents. La Cour de céans relève toutefois que, durant la période litigieuse, le recourant a été capable de transmettre à l’intimé de nombreuses pièces (par exemple : ses fiches salaires de mars à novembre 2022). Quant à l’argument selon lequel il a subodoré que le SPC était automatiquement informé par l’OCLPF, il ne peut non plus être retenu. On rappellera que le recourant a été interpellé à trois reprises par l’intimé sur la question de l’allocation de logement. Quoi qu’il en soit, le recourant, en constatant que la déduction correspondant à ladite allocation ne figurait pas dans les décisions de prestations le concernant, plus spécifiquement dans le plan de calcul desdites prestations, aurait dû réaliser que l’intimé n’en avait pas été informé. Par conséquent, examiné dans son ensemble, le comportement du recourant est manifestement incompatible avec la bonne foi. Il a manifestement violé son obligation de renseigner et cette violation doit être qualifiée de grave, de sorte que le refus de remise de l’obligation de restituer apparaît bien-fondé. Pour le surplus, il convient de rappeler que la remise de l’obligation de restituer ne peut être accordée que si les deux conditions cumulatives de la bonne foi et de la situation financière difficile sont réalisées. Dans le cas présent, la première de ces conditions n’étant pas remplie, il n’y a pas lieu d’examiner la seconde. Le recours est rejeté.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