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A/1824/2024 vom 20. Februar 2025</w:t>
      </w:r>
    </w:p>
    <w:p>
      <w:r>
        <w:t>GE Cour de justice, 2025-02-20, FR</w:t>
      </w:r>
    </w:p>
    <w:p>
      <w:r>
        <w:rPr>
          <w:b/>
        </w:rPr>
        <w:t xml:space="preserve">Quelle: </w:t>
      </w:r>
      <w:r>
        <w:t>https://mcp.opencaselaw.ch/entscheid/ge_gerichte_A_1824_2024</w:t>
      </w:r>
    </w:p>
    <w:p>
      <w:r>
        <w:t>FR: GE_GERICHTE A/1824/2024 du 20 février 2025</w:t>
      </w:r>
    </w:p>
    <w:p>
      <w:r>
        <w:t>IT: GE_GERICHTE A/1824/2024 del 20 febbraio 2025</w:t>
      </w:r>
    </w:p>
    <w:p>
      <w:pPr>
        <w:pStyle w:val="Heading2"/>
      </w:pPr>
      <w:r>
        <w:t>Erwägungen</w:t>
      </w:r>
    </w:p>
    <w:p>
      <w:r>
        <w:rPr>
          <w:b/>
        </w:rPr>
        <w:t>E. 2</w:t>
      </w:r>
    </w:p>
    <w:p>
      <w:r>
        <w:t>était presque intégralement en surfaces d'assolement. Le hangar avait ainsi une vocation agricole, dès lors qu'il permettait d'accueillir un tracteur. 10.         Le 2 octobre 2024, le département a dupliqué, persistant dans ses conclusions et son argumentation. Pour rappel, dans sa jurisprudence récente, le Tribunal fédéral avait jugé que le grief en lien avec la réintroduction de la prescription trentenaire était irrecevable, dès lors que cette modification de la LAT n'était pas encore entrée en vigueur. Les recourants étaient dans l'erreur en affirmant que les constructions litigieuses avaient été autorisées par le biais de la DD 10______. La délivrance d'un permis d'occuper ne signifiait pas que les travaux avaient été autorisés. La DD 10______ et le permis d'occuper ne portaient que sur la transformation et l'agrandissement d'une maison d'habitation, les aménagements extérieurs n'en faisant pas partie. Le seul fait que ces éléments figuraient sur certains plans ne signifiaient pas qu'ils avaient été autorisés. Le préavis du DIAR-Agriculture rendu durant l'instruction de la DD 10______ mentionnait uniquement l'agrandissement de la maison. Si cette autorisation avait aussi porté sur les aménagements extérieurs, cette instance les aurait analysés. D'autres éléments de ce dossier corroborait cela, notamment le courrier du MPQ du requérant du 16 mai 1991 ainsi que le descriptif des travaux, lequel indiquait explicitement que les aménagements extérieurs litigieux ne faisaient pas l'objet de la requête en autorisation de construire. Rien ne permettait d'affirmer que l'objet H serait autorisable. Cet élément devait être analysé dans le cadre d'une requête en autorisation de construire. Un potentiel caractère autorisable était au demeurant insuffisant, dès lors que cette construction n'avait jamais été autorisée, ce qui justifiait déjà le prononcé de l'ordre de remise en état. Si le département avait certes indiqué que de déposer une demande de régularisation était superflue, cela n'empêchaient pas les recourants de procéder de la sorte. En l'absence de telle démarche entreprise, leur volonté de légaliser ce bâtiment semblait faire défaut. En tout état, la conformité à la zone ne signifiait pas que ce bâtiment serait autorisé, les conditions de l'art. 34 OAT n'étant pas réalisée et les intéressés n'étant pas agriculteurs. 11.         Le 15 octobre 2024, les recourants ont transmis des observations spontanées. Persister à réclamer la suppression des objets D à H, érigé plus de 30 ans auparavant, quelques mois à peine avant l'entrée en vigueur d'un régime légale qui privera cette décision de toute pertinence revenait à violer gravement le principe de la proportionnalité. Au surplus, ils persistaient dans leurs conclusions et argumentation précédemment développéee. 12.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146 V 16 consid. 4.2 ; arrêt du Tribunal fédéral 8C_706/2022 du 5 décembre 2023 consid. 6.1.3 ; Thierry TANQUEREL, Manuel de droit administratif, 2018, n. 515 p. 179). 4.             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 ATA/84/2022 du 1er février 2022 consid. 3). 5.             En préambule, il convient de délimiter l'objet du litige. 6.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ATA/85/2022 du 1er février 2022 consid. 3a ; ATA/4418/2019 du 23 mars 2021, consid.10b). 7.             En l'espèce, la décision querellée concerne uniquement l'ordre de remise en état concernant les objets B, D, E, F, G et H. Elle n'a pas pour objet d'examiner la possibilité de régulariser ces objets, question devant faire l'objet d'un examen indépendant par l'autorité intimée sur demande des recourants. Ainsi, le potentiel caractère autorisable des objets B et H est exorbitant au présent litige. 8.             À cet égard, les recourants prétendent que le département aurait commis un excès négatif de son pouvoir d'appréciation en ne les ayant pas préalablement invités à déposer une demande de régularisation. Ce faisant, ils se plaignent indirectement de leur droit d'être entendu. 9.             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140 I 68 consid. 9.6.1 ; arrêt du Tribunal fédéral 8C_381/2021 du 17 décembre 2021 consid. 3.2 ; cf. aussi art. 41 in fine LPA).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arrêts cités). Elle dépend toutefois de la gravité et de l’étendue de l’atteinte portée au droit d’être entendu et doit rester l’exception ; elle peut cependant se justifier en présence d’un vice grave lorsque le renvoi constituerait une vaine formalité et aboutirait à un allongement inutile de la procédure (ATF 142 II 218 consid. 2.8.1 ; arrêts du Tribunal fédéral 2C_66/2022 du 8 décembre 2022 consid. 3.2 ; 1C_31/2021 du 16 juillet 2021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 10.         Selon la jurisprudence, lorsque le département constate qu’une construction a été érigée sans droit, il peut inviter l’intéressé à déposer une autorisation de construire, cela pouvant constituer une alternative à une remise en état. Cela ne présuppose toutefois pas que l’autorisation de construire sera délivrée. Cette invite n’est pas une décision ( ATA/1548/2017 du 28 novembre 2017 consid. 4a et les références citées). 11.         En l'espèce, le fait que le département ait considéré le dépôt d’une demande d’autorisation de construire régularisatrice comme superfétatoire et qu’il ne l’ait dès lors pas ordonné ne viole pas le droit d’être entendu des recourants. En effet, le département n’avait pas l’obligation de les inviter à déposer une autorisation de construire afin de régulariser une situation retenue illégale et rien n’indique qu’il ait agi de manière arbitraire en retenant, eu égard aux circonstances spécifiques du cas d’espèce - notamment le fait que de nombreuses constructions avaient été édifiées sans autorisation en zone agricole -, qu’il convenait de procéder immédiatement à la remise en état de la parcelle. En outre, cette position du département, qui ne constitue pas une décision, n’interdisait nullement aux recourants de déposer une demande de régularisation. À cet égard, les recourants n’ont à ce jour entrepris aucune démarche en ce sens. Ils sont ainsi mal venus de se plaindre d’une absence d'invitation à déposer une telle demande de régularisation. Dans un tel contexte, le département n’a pas commis un excès négatif de son pouvoir d'appréciation ou violé le droit d'être entendu des recourants en ne leur octroyant pas de délai pour déposer une demande de construction régularisatrice. 12.         Les recourants soutiennent que l'ordre de remise en état litigieux n'est pas conforme au droit, notamment en raison de l'introduction prochaine de la prescription trentenaire en zone agricole. 13.         Lorsque l'état d'une construction, d'une installation ou d'une autre chose n'est pas conforme aux prescription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14.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15.         De jurisprudence constante, pour être valable, un ordre de mise en conformité doit respecter cinq conditions. Premièrement, il doit être dirigé contre le perturbateur,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 ATA/701/2023 du 27 juin 2023 consid. 3.3 ; ATA/225/2023 du 7 mars 2023 consid. 3b ; ATA/1134/2022 du 8 novembre 2022 consid. 11b). S'agissant de la dernière des cinq conditions auxquelles est soumis un ordre de remise en état, soit l'application du principe de la proportionnalité, garanti par l'art. 5 al. 2 Cst. Traditionnellement, ledit principe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147 IV 145 consid. 2.4.1 ; ATF 146 I 70 consid. 6.4 ; ATF 143 I 403 consid. 5.6.3 ; ATF 142 I 76 consid. 3.5.1 ; ATF 136 IV 97 consid. 5.2.2 ; ATA/111/2024 du 30 janvier 2024 consid. 4.1.3). 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1C_149/ 2022 du 28 octobre 2022 consid. 5.2 ; ATA/1112/2023 du 10 octobre 2023 consid. 5.5.1), si celui-ci pouvait de bonne foi se croire autorisé à construire ou encore s’il y a des chances sérieuses de faire reconnaître la construction comme conforme au droit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 du 16 février 2016 consid. 4.4 ; 1C_537/ 2011 du 26 avril 2012). Néanmoins, un intérêt purement économique ne saurait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 Le postulat selon lequel le respect du principe de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Les constructions « illicites » en droit public - notions, mesures administratives, sanctions, Journées suisses du droit de la construction, Fribourg 2019, p. 218). 16.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 ATA/213/2018 précité consid. 11 ; ATA/738/2017 précité consid. 8 ; ATA/829/2016 du 4 octobre 2016). 17.         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 ATA/1399/2019 du 17 septembre 2019 consid. 3c et l’arrêt cité ; ATA/336/2011 du 24 mai 2011 consid. 3b). 18.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 19.         Dans son arrêt 1C_469/2019 du 28 avril 2021, désormais publié (ATF 147 II 309 ),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 12 novembre 2021 consid. 2.1.5 ; 2C_199/2017 du 12 juin 2018 consid. 3.5). 20.         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Dans un arrêt plus récent, il a retenu qu’une clôture destinée à protéger les lieux des animaux sauvages ou d’intrus n’était pas conforme à la zone agricole, de sorte qu’elle devait être évacuée. La proportionnalité d’une telle mesure a en outre été confirmée (arrêt du Tribunal fédéral 1C 535/2021 du 14 avril 2023 consid. 2.4 et 3.2). 21.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dont deux chemins et deux cours servant de parking ( ATA/684/2022 du 28 juin 2022). Plus récemment, elle a confirmé l’ordre de rétablir une situation conforme au droit en procédant à la remise en état du terrain naturel suite à un remblayage effectué sans autorisation ( ATA/111/2024 du 30 janvier 2024 qui fait l’objet d’un recours pendant au Tribunal fédéral), respectivement à l’enlèvement d’une clôture en métal en vue de la garde d’animaux à titre de loisirs ( ATA/1112/2023 du 10 octobre 2023 confirmé par arrêt du tribunal fédéral 1C_618/2023 du 9 octobre 2024). 22.         Selon la jurisprudence du Tribunal fédéral, le nouvel art. 25 al. 5 LAT, réintroduisant un délai de prescription de trente ans hors zone à bâtir ne saurait s'appliquer à titre anticipé, dès lors que cette modification n'est pas entrée en vigueur (arrêt du Tribunal fédéral 1C_182/2023 du 16 août 2024 consid. 3; 1C_667/2023 du 3 juin 2024 consid. 4.5.3). Un tel grief a été jugé comme irrecevable, faute d'entrée en vigueur de ladite norme ( 1C_452/2023 du 31 mai 2024 consid. 8). Dans plusieurs jurisprudences récentes ( JTAPI/44/2025 du 16 janvier 2025, JTAPI/934/2024 du 19 septembre 2024, JTAPI/809/2024 du 22 août 2024 et JTAPI/650/2024 du 27 juin 2024), le tribunal a annulé des ordres de remise en état considérant notamment qu’ils étaient disproportionnés au vu de la modification de la LAT annoncée dans la FF 2023 2488 qui rétablissait la prescription trentenaire qu'avait supprimé l'ATF 147 II 309 , laquelle n'entrerait certes en vigueur qu'en 2025, et ne saurait donc être appliquée de manière anticipée, mais devait cependant être prise en considération dans le cadre du principe de la proportionnalité, sauf à faire abstraction du pouvoir d'appréciation dont dispose l'autorité et à s'en tenir à une application purement mécanique du droit (cf. notamment JTAPI/650/2024 précité consid. 14). Dans ces trois procédures, les objets en cause existaient depuis plus de 30 ans. 23.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143 V 95 consid. 3.6.2 ; ATF 141 V 530 consid. 6.2 ; arrêts du Tribunal fédéral 1C_626/2019 du 8 octobre 2020 consid. 3.1 ; 2C_136/2018 du 24 septembre 2018 consid. 3.2). Le principe de la bonne foi ne peut avoir qu'une influence limitée dans les matières dominées par le principe de la légalité lorsqu'il entre en conflit avec ce dernier (ATF 131 II 627 consid. 6.1 ; arrêt du Tribunal fédéral 6B_659/2013 du 4 novembre 2013 consid. 3.1 ; ATA/1233/2024 du 21 octobre 2024 consid. 3.3). 24.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 constructeur à édifier un bâtiment, pourrait obliger cette autorité à tolérer ensuite l’ouvrage en question ( ATA/610/2017 du 30 mai 2017 consid. 7d ; ATA/303/2016 du 12 avril 2016 consid. 6c ; ATA/19/2016 du 12 janvier 2016 consid. 7b).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 25.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1C_2/2020 du 13 mai 2020 consid. 3.1 ; ATA/978/2019 du 4 juin 2019 consid. 4b). Le juge forme ainsi librement sa conviction en analysant la force probante des preuves administrées et ce n'est ni le genre, ni le nombre de celles-ci qui est déterminant, mais leur force de persuasion ( ATA/978/2019 du 4 juin 2019 consid. 4b et les arrêts cités), aucun moyen de preuve ne s'imposant à lui (cf. not. arrêts du Tribunal fédéral 6B_58/2017 du 21 août 2017 consid. 2.1 ; 6B_564/2013 du 22 avril 2014 consid. 2.3). 26.         En l’espèce, l'ordre de remise en état a été adressé aux recourants, qui sont propriétaires des parcelles concernées, et donc, à tout le moins, perturbateurs par situation. Le département était ainsi fondé à s’adresser à eux en vue de solliciter la remise en état des objets litigieux, sis sur des parcelles sur lesquelles ils possèdent une maîtrise juridique et de fait, quand bien même ils ne les ont pas eux-mêmes fait réaliser. En outre, les objets en cause n’ont manifestement jamais été autorisés. Si les recourants prétendent que certains de ceux-ci l'auraient été par le biais de l'autorisation de construire DD 10______, ils ne sauraient cependant être suivi. En effet, cette autorisation de construire ne portait aucunement sur la question de ces aménagements extérieurs, dès lors qu'elle visait la transformation et l'agrandissement d'une habitation. En particulier, le courrier du 16 mai 1991 de l'architecte en charge de ce projet précise que les travaux visaient la modification des structures intérieurs non porteuses du bâtiment et l'agrandissement et la transformation d'un couvert existant en véranda. Sous le volet « aménagements extérieurs », dans le descriptif des travaux, il est mentionné « sans modification, si ce n'est l'aménagement de terrasses en gravier ». Il est donc clair que la DD 10______ n'a jamais eu pour objet ni pour effet d'autoriser les objets litigieux. La question de la prescription trentenaire ne se pose pas en l’espèce. En effet, une telle prescription ne s’applique actuellement pas, à teneur de la jurisprudence du Tribunal fédéral, hors de la zone à bâtir. Or, les parcelles en cause se situent en zone agricole. La future réintroduction de cette prescription trentenaire désormais validée par les deux chambres de l’Assemblée fédérale et contre laquelle aucun référendum n’a été déposé, n’y change rien du strict point de vue de la légalité. Par ailleurs, le Tribunal fédéral a déjà exclu une éventuelle application anticipée du futur art. 25 al. 5 LAT et a jugé un tel grief irrecevable. Il en va cependant différemment, comme on le verra ci-dessous, sous l'angle de la proportionnalité. Il n’apparaît pour le surplus pas que l’autorité aurait suscité d’une quelconque façon des expectatives qu’il se justifierait de protéger sous l’angle de la bonne foi. À cet égard, la jurisprudence du Tribunal fédéral a déjà précisé que la délivrance d'un permis d'occuper n'était pas suffisant pour retenir que l'autorité serait intervenue auparavant en donnant des assurances concrètes auxquelles se seraient fiés les recourants pour entreprendre des travaux illicites et qu'un tel permis ne signifiait pas que les travaux avaient été autorisés (Arrêt du Tribunal fédéral 1C_537/2011 du 26 avril 2012 consid. 2.3.3). S'agissant de la cinquième condition à laquelle est soumis un ordre de remise en état, à savoir le fait que ce dernier vise des intérêts publics qui l'emportent sur les intérêts opposés au maintien de la situation, le tribunal considère que l'on ne saurait faire abstraction du fait que certains des objets litigieux, qui sont aujourd'hui soumis à la possibilité d'un ordre de remise en état, pourraient y échapper dès l'entrée en vigueur relativement proche du futur art. 25 al. 5 LAT, à condition de pouvoir déterminer avec suffisamment de précision la date de réalisation des objets litigieux. La pesée des intérêts en présence, et notamment des intérêts publics que l'autorité doit veiller à préserver, est ainsi influencée dans le cas d'espèce par le fait que le législateur a récemment décidé que l'intérêt public à préserver les périmètres situés hors zone à bâtir (dont en particulier la zone agricole) contre les constructions illégales, doit céder le pas à l'intérêt privé des propriétaires à pouvoir préserver ces constructions lorsque ces dernières ont été érigées au moins 30 ans auparavant. Même si la loi qui introduit le délai de prescription de 30 ans hors de la zone à bâtir n'est pas encore en vigueur, il s'agit, du point de vue des intérêts publics et privés qui régissent les zones non constructibles, d'un changement de paradigme dans la manière dont il faut envisager ces questions. Il apparaîtrait ainsi incompréhensible, dans le présent litige, de vouloir encore préserver un intérêt public auquel le législateur fédéral a d'ores et déjà décidé qu'il convenait de renoncer dans les circonstances spécifiques de constructions datant de plus de 30 ans. En l'occurrence, s'agissant du couvert à voiture (objet B), il n'apparait manifestement pas sur les orthophotos disponibles sur le SITG pour les années 2001, 2005 et 2009. Il est cependant visible sur les photographies aériennes à partir de 2011. Il est ainsi clair qu'il a été édifié entre 2009 et 2011, de sorte que cela ne fait manifestement pas plus de trente ans qu'il existe à cet emplacement, étant rappelé que l'admissibilité de son potentiel déplacement contre l'une des façades du bâtiment ne fait pas l'objet du présent litige. S'agissant des portails et portillons ainsi que le bâtiment n° 5______ utilisé comme remise sis sur la parcelle n° 4______ (objets F, G et H), si les propriétaires affirment dans leurs écritures qu'ils existeraient depuis plus de trente ans, aucun élément du dossier ne permet de le confirmer ni de dater objectivement la réalisation de ceux-ci, malgré la visite sur place de la CFA. Les outils disponibles sur le SITG, sur la plateforme Swisstopo (https://map.geo.admin.ch/) ou même les plans de la DD 10______ ne permettent pas d'apporter de quelconques clarifications à ce sujet. Or, il appartient en premier lieu aux recourants d'apporter des éléments de preuve permettant de déterminer la date d'édification des objets concernés. Dans ces conditions, faute de pouvoir déterminer la date de réalisation des objets F, G et H, on ne peut pas admettre qu'ils auraient été érigés depuis plus de trente ans. Il existe ainsi un intérêt public certain au rétablissement d'une situation conforme au droit, au respect de la séparation de l'espace bâti de l'espace non bâti et à la limitation des constructions en zone agricole et on ne voit pas quelle mesure moins incisive permettrait de protéger les intérêts publics compromis, étant rappelé que celui qui place l'autorité devant le fait accompli doit s'attendre à ce que celle-ci se préoccupe davantage de rétablir une situation conforme au droit que d'éviter les inconvénients qui en découlent pour lui. Dans cette mesure, la décision querellée apparait également proportionnée. A cet égard, les recourants ne parviennent pas à démontrer que la remise en état consistant à restituer la parcelle à son état d'origine serait impossible ou qu'elle entraînerait des surcoûts disproportionnés. Concernant la cour (objet D) et le cheminement (objet E), les recourants ne sauraient être suivis lorsqu'ils affirment que ces éléments auraient été autorisés à l'occasion de la délivrance de la DD 10______, comme exposé précédemment. Il ressort des photographies aériennes du SITG que ces objets existent à leurs emplacements et dimensions respectifs actuels depuis à tout le moins juin 1996, les orthophotos antérieures disponibles étant trop imprécises. Cependant, selon les images aériennes historiques existantes sur la plateforme informatique de Swisstopo, on discerne la présence d'un cheminement permettant d'accéder à l'habitation, équivalent à l'objet E, mais dans une configuration légèrement différente, notamment entre 1985 et 1991. Sur l'image de la parcelle en 1992, la surface au sol où se situe actuellement la cour et le cheminement est visiblement en travaux, dès lors que la surface alors en verdure devant l'habitation a disparu et que plusieurs véhicules y sont stationnés. Cette situation correspond en outre à la période durant laquelle les travaux autorisés par la DD 10______ ont été réalisés. Ces éléments amènent à penser que la cour et le cheminement auraient été aménagés à la suite de l'exécution de l'autorisation de construire précitée. À cela s'ajoute que le tableau de mutation parcellaire du 22 avril 1993, produit à l'appui de la demande de permis d'occuper, permet de visualiser l'emplacement actuel de la cour, en traits-tillés. Or, ce même tableau recense également en traits-tillés l'autre cheminement existant sur cette parcelle et manifestement présent de longue date sur celle-ci, de sorte que ce tableau de mutation parcelle présente manifestement l'état de la parcelle en 1993. Il est ainsi cohérent d'admettre que l'aménagement de la cour et du cheminement a été réalisé – illégalement – durant ou directement après l'exécution des travaux liés à la DD 10______. On peut donc raisonnablement affirmer que les objets D et E ont été réalisés, dans leur configuration actuelle, de manière simultanée aux travaux de la DD 10______, plus concrètement au plus tard au moment de la délivrance du permis d'occuper en 1993 attestant de la fin des travaux de la DD 10______, étant rappelé que la délivrance de celui-ci ne permet pas de retenir la légalité de ces aménagements litigieux. On peut ainsi admettre qu'ils existent très vraisemblablement depuis plus de trente ans. Dans ces circonstances, il apparait disproportionné d'en exiger la remise en état, compte tenu de la situation toute particulière du cas d'espèce et de la réintroduction prochaine de la prescription trentenaire en zone agricole. Partant, au vu de ce qui précède, l'ordre de remise en état querellé apparaît disproportionné concernant les objets D et E et devra donc être annulé dans la mesure où il porte sur ces objets. Il importe cependant d'attirer l'attention des recourants sur le fait que cette issue laisse les objets litigieux dans l'illégalité et qu'ils ne sont donc pas susceptibles d'être remplacés ni transformés, de sorte que leur existence est limitée par leur durée de vie. L'ordre de remise en état est cependant parfaitement fondé et conforme au droit s'agissant du reste des objets litigieux B, F, G et H. 27.         Au vu de ce qui précède, le recours sera partiellement admis. 28.         La décision entreprise sera ainsi confirmée, hormis s'agissant des objets D et E. 29.         Vu cette issue, un émolument réduit de CHF 600.- sera mis à la charge des recourants, dès lors qu’ils n’obtiennent que partiellement gain de cause (art. 87 al.1 LPA et 1 et 2 du règlement sur les frais, émoluments et indemnité en procédure administrative du 30 juillet 1986 - RFPA - E 5 10.03). Il est couvert par l’avance de frais. Le solde de l’avance de frais, soit CHF 300.-, leur sera restitué. 30.         Une indemnité de procédure de CHF 500.-, à la charge de l’autorité intimée, sera par ailleurs allouée aux recourants (art. 87 al. 2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