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A/1821/2025 vom 8. Oktober 2025</w:t>
      </w:r>
    </w:p>
    <w:p>
      <w:r>
        <w:t>GE Cour de justice, 2025-10-08, FR</w:t>
      </w:r>
    </w:p>
    <w:p>
      <w:r>
        <w:rPr>
          <w:b/>
        </w:rPr>
        <w:t xml:space="preserve">Quelle: </w:t>
      </w:r>
      <w:r>
        <w:t>https://mcp.opencaselaw.ch/entscheid/ge_gerichte_A_1821_2025</w:t>
      </w:r>
    </w:p>
    <w:p>
      <w:r>
        <w:t>FR: GE_GERICHTE A/1821/2025 du 8 octobre 2025</w:t>
      </w:r>
    </w:p>
    <w:p>
      <w:r>
        <w:t>IT: GE_GERICHTE A/1821/2025 del 8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Il s'agit en l'occurrence d'examiner la recevabilité du recours.</w:t>
      </w:r>
    </w:p>
    <w:p>
      <w:r>
        <w:rPr>
          <w:b/>
        </w:rPr>
        <w:t>E. 3.1</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Selon l'art. 53 al. 2 LPGA, l’assureur peut revenir sur les décisions ou les décisions sur opposition formellement passées en force lorsqu’elles sont manifestement erronées et que leur rectification revêt une importance notable. La reconsidération sert à corriger une application initialement erronée de la loi fondée sur l'appréciation des faits. L'inexactitude est manifeste lorsque dès le début, il n'y a aucun doute raisonnable de son inexactitude (ATF 138 V 324 ). Dans la mesure où le pouvoir d'appréciation se fonde sur la situation des faits et du droit, y compris la pratique juridique, il n'y a pas place pour une inexactitude incontestable manifeste (ATF 141 V 405 ).</w:t>
      </w:r>
    </w:p>
    <w:p>
      <w:r>
        <w:rPr>
          <w:b/>
        </w:rPr>
        <w:t>E. 3.2</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 a) du 7e jour avant Pâques au 7e jour après Pâques inclusivement ; b) du 15 juillet au 15 août inclusivement ; c) du 18 décembre au 2 janvier inclusivement (art. 38 al. 4 LPGA et art. 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3.3</w:t>
      </w:r>
    </w:p>
    <w:p>
      <w:r>
        <w:t>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 5A_896/2012 du 10 janvier 2013 consid. 3.2 ; 5A_30/2010 du 23 mars 2010 consid. 4.1 et les références citées).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Le recourant doit démontrer qu’il a été empêché, sans faute de sa part, de mandater à temps un tiers pour recourir ( cf . arrêt 6F_10/2009 du 24 juillet 2009 ; JEAN-MAURICE FRÉSARD, Commentaire de la LTF, 2° éd., n. 8 ad art. 50),</w:t>
      </w:r>
    </w:p>
    <w:p>
      <w:r>
        <w:rPr>
          <w:b/>
        </w:rPr>
        <w:t>E. 4</w:t>
      </w:r>
    </w:p>
    <w:p>
      <w:r>
        <w:t>En l'occurrence, l’assuré a demandé, le 16 mai 2025 à l’OCE, soit manifestement après l’échéance du délai de recours contre la décision sur opposition du 6 mars 2025, la révision ou la reconsidération de celle-ci. L’on peut s’interroger sur le bien-fondé de la transmission de ce courrier à la chambre de céans, car l’OCE était compétent pour se prononcer tant sur une demande de révision que sur une demande de reconsidération. Dans la mesure où l’assuré n’a pas contesté la transmission de son courrier à la chambre de céans, il y a toutefois lieu d’examiner si celui-ci en tant qu’il pourrait constituer un recours est recevable. Cela pourrait être le cas si l’assuré pouvait se prévaloir d’un motif de restitution du délai. Tel n’est pas le cas, car ses explications ne suffisent pas à établir, au degré de la vraisemblance prépondérante, qu’il aurait été incapable de recourir dans le délai de 30 jours contre la décision sur opposition du 19 septembre 2019, soit par manque de temps, soit en raison de son état de santé. En effet, le fait qu’il était très pris par son activité et souvent à l’étranger ne permet de retenir de telles circonstances.</w:t>
      </w:r>
    </w:p>
    <w:p>
      <w:r>
        <w:rPr>
          <w:b/>
        </w:rPr>
        <w:t>E. 5</w:t>
      </w:r>
    </w:p>
    <w:p>
      <w:r>
        <w:t>En conséquence le courrier de l’assuré du 16 mai 2025 sera déclaré irrecevable, en tant qu’il pourrait constituer un recours, et il sera transmis à l’OCE, pour raison de compétence, en tant qu’il semble constituer une demande de révision ou de reconsidération.</w:t>
      </w:r>
    </w:p>
    <w:p>
      <w:r>
        <w:rPr>
          <w:b/>
        </w:rPr>
        <w:t>E. 6</w:t>
      </w:r>
    </w:p>
    <w:p>
      <w:r>
        <w:t>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