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A/1820/2022 vom 26. April 2024</w:t>
      </w:r>
    </w:p>
    <w:p>
      <w:r>
        <w:t>GE Cour de justice, 2024-04-26, FR</w:t>
      </w:r>
    </w:p>
    <w:p>
      <w:r>
        <w:rPr>
          <w:b/>
        </w:rPr>
        <w:t xml:space="preserve">Quelle: </w:t>
      </w:r>
      <w:r>
        <w:t>https://mcp.opencaselaw.ch/entscheid/ge_gerichte_A_1820_2022</w:t>
      </w:r>
    </w:p>
    <w:p>
      <w:r>
        <w:t>FR: GE_GERICHTE A/1820/2022 du 26 avril 2024</w:t>
      </w:r>
    </w:p>
    <w:p>
      <w:r>
        <w:t>IT: GE_GERICHTE A/1820/2022 del 26 aprile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w:t>
      </w:r>
    </w:p>
    <w:p>
      <w:r>
        <w:rPr>
          <w:b/>
        </w:rPr>
        <w:t>E. 3</w:t>
      </w:r>
    </w:p>
    <w:p>
      <w:r>
        <w:t>Déposé dans les forme et délai prescrits par la loi (art. 56ss LPGA), le recours est recevable.</w:t>
      </w:r>
    </w:p>
    <w:p>
      <w:r>
        <w:rPr>
          <w:b/>
        </w:rPr>
        <w:t>E. 4</w:t>
      </w:r>
    </w:p>
    <w:p>
      <w:r>
        <w:t>Le litige porte sur la suppression de la rente du recourant, plus particulièrement sur le point de savoir si son état de santé s’est amélioré de manière à influer sur son droit aux prestations en septembre 2020.</w:t>
      </w:r>
    </w:p>
    <w:p>
      <w:r>
        <w:rPr>
          <w:b/>
        </w:rPr>
        <w:t>E. 5</w:t>
      </w:r>
    </w:p>
    <w:p>
      <w:r>
        <w:t>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Selon la jurisprudence, lorsque la décision dont est recours a été rendue après le 1 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 Dans les cas de révision du droit aux prestations selon l'art. 17 LPGA, il convient également d’évaluer, selon la situation juridique en vigueur jusqu’au 31 décembre 2021, si une modification déterminante pour le droit à la rente est intervenue jusqu’à cette date. Si tel est le cas, les dispositions de la LAI et celles du règlement du 17 janvier 1961 sur l’assurance-invalidité (RAI - RS 831.201) dans leur version en vigueur jusqu'au 31 décembre 2021 sont applicables. Si la modification déterminante est intervenue après cette date, ce sont les dispositions légales et réglementaires dans leur teneur dès le 1 er janvier 2022 qui sont applicables. La date de la modification se détermine selon l'art. 88a RAI (arrêts du Tribunal fédéral 8C_55/2023 du 11 juillet 2023 consid. 2.2 et 8C_644/2022 du 8 février 2023 consid. 2.2.3). Selon cette disposition,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 bis est toutefois applicable par analogie (al. 2). En l’espèce, bien que la décision dont est recours soit postérieure à l’entrée en vigueur de la modification de la LAI et ne déploie ses effets qu’après le 1 er janvier 2022, la modification de l’état de santé déterminante selon l’intimé remonte à septembre 2020, de sorte que l’ancien droit reste applicable, le délai de trois mois prévu à l’art. 88a al. 1 RAI ayant expiré fin 2020.</w:t>
      </w:r>
    </w:p>
    <w:p>
      <w:r>
        <w:rPr>
          <w:b/>
        </w:rPr>
        <w:t>E. 6</w:t>
      </w:r>
    </w:p>
    <w:p>
      <w:r>
        <w:t>Jusqu’au 31 décembre 2021, l’art. 17 LPGA prévoyait que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17 LPGA dans sa teneur depuis le 1 er janvier 2022, la rente d’invalidité est, d’office ou sur demande, révisée pour l’avenir, à savoir augmentée, réduite ou supprimée, lorsque le taux d’invalidité de l’assuré subit une modification d’au moins 5 points de pourcentage (let. a), ou atteint 100% (let. b) (al.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7</w:t>
      </w:r>
    </w:p>
    <w:p>
      <w:r>
        <w:t>L'invalidité est une notion économique et non médicale, où sont prises en compte les répercussions de l'atteinte à la santé sur la capacité de gain (arrêt du Tribunal fédéral des assurances I 15/06 du 21 décembre 2006 consid. 2.2).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8.1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w:t>
      </w:r>
    </w:p>
    <w:p>
      <w:r>
        <w:rPr>
          <w:b/>
        </w:rPr>
        <w:t>E. 8.2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8.3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9</w:t>
      </w:r>
    </w:p>
    <w:p>
      <w:r>
        <w:t>Dans un arrêt de principe concernant les troubles somatoformes douloureux (ATF 141 V 281 ),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w:t>
      </w:r>
    </w:p>
    <w:p>
      <w:r>
        <w:rPr>
          <w:b/>
        </w:rPr>
        <w:t>E. 9.1</w:t>
      </w:r>
    </w:p>
    <w:p>
      <w:r>
        <w:t>Dans un arrêt de 2017, le Tribunal fédéral a étendu la jurisprudence précitée à toutes les maladies psychiques (ATF 143 V 409 consid. 4.5). Notre Haute Cour a par la suite modifié à sa jurisprudence en ce sens que des syndromes de dépendance ou des troubles liés à la consommation de substances diagnostiqués par des spécialistes ne peuvent plus d'emblée se voir nier toute pertinence du point de vue de l'assurance-invalidité, leur incidence sur la capacité de travail devant désormais également être déterminée au moyen de la grille d'évaluation applicable en matière de troubles somatoformes douloureux et de troubles psychiques (ATF 145 V 215 consid. 5.3.3 et consid. 6.2). Dans ce contexte, le point de départ de l’évaluation de ces troubles est l'ensemble des constatations médicales qui ont été faites par l'expert psychiatre et lui ont permis de poser un diagnostic reposant sur les critères d'un système reconnu de classification, qui doit être motivé de telle sorte que l’autorité soit en mesure de comprendre non seulement si les critères de la classification sont effectivement remplis mais également si la pathologie diagnostiquée présente un degré de gravité susceptible d'occasionner des limitations dans les fonctions de la vie courante (arrêt du Tribunal fédéral 9C_618/2019 du 16 mars 2020 consid. 8.1.1).</w:t>
      </w:r>
    </w:p>
    <w:p>
      <w:r>
        <w:rPr>
          <w:b/>
        </w:rPr>
        <w:t>E. 10</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w:t>
      </w:r>
    </w:p>
    <w:p>
      <w:r>
        <w:rPr>
          <w:b/>
        </w:rPr>
        <w:t>E. 10.1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w:t>
      </w:r>
    </w:p>
    <w:p>
      <w:r>
        <w:rPr>
          <w:b/>
        </w:rPr>
        <w:t>E. 10.2</w:t>
      </w:r>
    </w:p>
    <w:p>
      <w:r>
        <w:t>Pour déterminer le revenu d'invalide de l'assuré, il faut en l'absence d'un revenu effectivement réalisé se référer aux données salariales, telles qu'elles résultent des ESS (ATF 126 V 75 consid. 3b).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w:t>
      </w:r>
    </w:p>
    <w:p>
      <w:r>
        <w:rPr>
          <w:b/>
        </w:rPr>
        <w:t>E. 10.3</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 L'abattement ne peut résulter de déductions distinctes pour des facteurs séparés à prendre en considération. Une telle fragmentation n'est pas compatible avec une évaluation globale des effets des empêchements sur le revenu d'invalide qui suppose un examen des facteurs considérés dans leur ensemble et non pas une addition schématique de pourcentages (arrêt du Tribunal fédéral 9C_751/2011 du 30 avril 2012 consid. 4.2.2). Il n'est pas justifié de quantifier séparément chacun des facteurs de réduction entrant en ligne de compte et de les additionner, car on perdrait ainsi de vue les effets réciproques (ATF 126 V 75 consid. 5b/bb).</w:t>
      </w:r>
    </w:p>
    <w:p>
      <w:r>
        <w:rPr>
          <w:b/>
        </w:rPr>
        <w:t>E. 10.3.1</w:t>
      </w:r>
    </w:p>
    <w:p>
      <w:r>
        <w:t>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10.3.2</w:t>
      </w:r>
    </w:p>
    <w:p>
      <w:r>
        <w:t>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w:t>
      </w:r>
    </w:p>
    <w:p>
      <w:r>
        <w:rPr>
          <w:b/>
        </w:rPr>
        <w:t>E. 10.3.3</w:t>
      </w:r>
    </w:p>
    <w:p>
      <w:r>
        <w:t>Selon la jurisprudence,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De plus, le critère du taux d'occupation réduit peut être pris en compte pour déterminer l'étendue de l'abattement à opérer sur le salaire statistique d'invalide lorsque le travail à temps partiel se révèle proportionnellement moins rémunéré que le travail à plein temps. A cet égard, le Tribunal fédéral a déjà eu l'occasion de constater que le travail à plein temps n'est pas nécessairement proportionnellement mieux rémunéré que le travail à temps partiel; dans certains domaines d'activités, les emplois à temps partiel sont en effet répandus et répondent à un besoin de la part des employeurs, qui sont prêts à les rémunérer en conséquence. Cela étant, le travail à temps partiel peut, selon les statistiques, être synonyme d'une perte de salaire pour les travailleurs de sexe masculin (arrêt du Tribunal fédéral 9C_18/2022 du 9 novembre 2022 consid. 3.2 et les références).</w:t>
      </w:r>
    </w:p>
    <w:p>
      <w:r>
        <w:rPr>
          <w:b/>
        </w:rPr>
        <w:t>E. 11</w:t>
      </w:r>
    </w:p>
    <w:p>
      <w:r>
        <w:t>En l’espèce, l’octroi d’une rente entière en 2007 reposait sur les conclusions du Dr G______, lequel avait conclu à un épuisement des ressources dans le cadre de la polytoxicomanie alors active du recourant. En 2020, ce dernier a cependant réussi à se sevrer de la plupart des substances qu’il consommait, comme l’a indiqué le Dr E______, ce qui a justifié la révision du droit aux prestations. L’expertise établie dans ce cadre par le Dr J______ répond aux exigences dégagées par la jurisprudence pour se voir reconnaître valeur probante. En particulier, elle se prononce de manière fiable et convaincante sur les indicateurs déterminants selon la jurisprudence. En effet, ce psychiatre et la psychologue avec qui il collabore ont eu deux longs entretiens avec le recourant, qu’ils ont interrogé sur ses plaintes. L’expert a exposé ses constatations cliniques après avoir pris connaissance de l’ensemble du dossier médical et de l’historique du recourant, et ses diagnostics sont motivés à satisfaction de droit, de même que les conclusions qu’il tire des répercussions de ces diagnostics sur la capacité de travail et de gain du recourant. Le Dr J______ a bien expliqué les motifs qui justifient que son appréciation diffère de celle du Dr G______ en 2010. Une des divergences entre leurs évaluations respectives porte sur le caractère primaire ou secondaire de la polytoxicomanie, laquelle n’a toutefois plus la même portée au vu des modifications de la jurisprudence en matière de caractère incapacitant d’addictions et n’est pas déterminante ici, puisque le recourant était sevré dès septembre 2020. En outre, l’expert a exposé de manière détaillée les éléments objectifs qui lui permettaient d’exclure tout retentissement fonctionnel significatif des atteintes retenues, en se référant notamment aux activités de loisirs auxquelles le recourant s’adonne. Il a retenu une amélioration de l’état de santé dès septembre 2020, et le sevrage réussi à cette date plaide effectivement en faveur d’une telle amélioration. S'agissant de la consommation de cocaïne, elle est épisodique, de sorte que le fait que le Dr J______ n’ait pas retenu d’incidence dans le fonctionnement du recourant au quotidien ne prête pas le flanc à la critique. L'épuisement relaté par le Dr G______ dans le cadre de la consommation de toxiques, se traduisant notamment par une inaptitude à fonctionner au quotidien, n’était plus constaté lors de l’examen par le Dr J______. Les critiques du recourant sur le contenu de cette expertise tombent à faux. Contrairement à ce qu’il soutient, l’expert a bien détaillé les critères diagnostiques justifiant les atteintes retenues, en exposant en particulier pour quels motifs le trouble hyperkinétique et le trouble de la personnalité, non décompensés au moment de l’expertise, n’entraînent pas de limitations au quotidien. La date erronée mentionnée par l’expert relative au début de l’incapacité de travail relève d’un détail qui ne saurait invalider l’ensemble de l’expertise. Quant à l’impossibilité de gérer le quotidien dès 2007 rapportée par l’expert, elle figure dans la partie du rapport relatant les plaintes passées, et n’est donc pas en contradiction avec le fait que celui-ci a plus loin noté la capacité actuelle du recourant à gérer son quotidien. Au sujet de l’aide à sa mère, le Dr J______ n’a pas soutenu qu’elle consistait en démarches administratives. Le recourant reproche également à l’expert d’avoir conclu à une amélioration liée à l’arrêt du suivi psychiatrique, prétendant n’avoir jamais eu de tel suivi dans les années précédant l’expertise. Or, d’une part, l’expert psychiatre ne s’est pas expressément référé à un traitement psychothérapeutique, mais aux antidépresseurs, que le recourant ne prend en effet plus depuis la réussite du sevrage. De plus, il y avait bien un suivi à l’époque de l’expertise du Dr G______, comme cela ressort du rapport du Dr F______. Même si le traitement psychothérapeutique a pris fin plusieurs années avant l’examen du Dr J______, son arrêt suggère bien une amélioration de l’état de santé depuis l’octroi de la rente. On ajoutera enfin que l’affirmation du recourant, selon laquelle les antidépresseurs auraient été arrêtés car ils aggravaient son état, n’est pas attestée médicalement. A l’instar de l’arrêt du traitement de substitution par méthadone et de la réussite du sevrage, l’absence de tout traitement psychiatrique en septembre 2020 relève ainsi bien d’une amélioration de l’état de santé. L’absence de traitement est en outre un indicateur pertinent selon la jurisprudence pour déterminer la gravité d’une atteinte. Enfin, même si le recourant bénéficiait d’une activité « protégée » jusqu’en 2006, on ne saurait considérer que seule une activité de cet ordre serait possible après l’amélioration admise dès septembre 2020. En effet, selon les constatations du Dr J______, le recourant était abstinent à cette date. De plus, ses troubles de la personnalité n’étaient pas décompensés, de sorte qu’on ne voit pas pour quels motifs il ne pourrait se plier aux exigences de rapports de travail sur le marché du travail ordinaire. Le recourant entend invalider les conclusions de l’expert au motif que ses déclarations à celui-ci seraient erronées. Sur ce point, il sied en premier lieu de relever que le recourant paraît concéder qu’il a bien les activités de loisirs rapportées par le Dr J______, mais soutient qu’elles ne suffisent pas à établir une pleine capacité de travail. Or, selon la jurisprudence, l’absence de limitations dans les fonctions de la vie courante est précisément pertinente pour analyser la capacité de travail d’un assuré présentant des atteintes sans substrat organique. De plus, ces activités révèlent l’existence de ressources, notamment cognitives, du recourant – en particulier s’agissant de la lecture et des émissions historiques suivies. Le recourant s’en prend essentiellement à l’assertion selon laquelle il serait capable de gérer son quotidien administratif simple. Or, on peine à comprendre pour quels motifs il aurait sciemment donné de fausses informations à l’expert sur ce point. Il convient de rappeler ici que conformément au principe des déclarations de la première heure, en cas de déclarations successives contradictoires entre elles par un assuré,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(ATF 143 V 168 consid. 5.2.2). Par ailleurs, l’attestation de la fiduciaire ne suffit pas à susciter des doutes importants sur l’aptitude du recourant à assumer des tâches administratives simples, dès lors qu’elle indique que la prise en charge des tâches administratives du recourant a débuté en décembre 2020 seulement, soit après l’amélioration objectivée par l’expert. En outre, ce suivi administratif a selon cette fiduciaire été mis en place non pas en raison de l’inaptitude du recourant, mais a été ordonné par son père pour éviter une dilapidation de ses ressources pour financer sa consommation de toxiques. Enfin, en toute hypothèse, les seules difficultés à s’occuper de démarches administratives simples, fussent-elles en lien avec des atteintes à la santé – ce qui n’est pas clairement établi en l’espèce, notamment au vu des capacités intellectuelles du recourant – ne suffisent pas à exclure toute capacité de travail dans une activité simple et répétitive, ni à établir une inaptitude à fonctionner normalement au quotidien. S’agissant des rapports du Dr E______, en premier lieu, ils ne sont pas formellement conformes aux réquisits jurisprudentiels rappelés ci-dessus, et ne sont en particulier guère motivés. On relève par ailleurs que les diagnostics posés par ce médecin varient passablement – notamment celui de troubles obsessionnels compulsifs qu’il avance dans son certificat du 22 juillet 2022, dans lequel il ne mentionne plus de trouble borderline –, ce qui suscite quelques doutes sur la fiabilité de ses rapports. S’agissant du trouble dépressif récurrent, il s’agit d’un diagnostic discuté par l’expert, qui a exposé pour quels motifs il n’entraînait pas de limitations fonctionnelles dans la capacité de gain. On notera enfin que les seuls diagnostics ayant une incidence sur la capacité de travail selon le rapport du Dr E______ de décembre 2020 étaient d’ordre somatique, ce qui correspond aux constatations de l’expert. Quant à la rechute de la consommation signalée par le Dr E______ en juin 2023, elle est postérieure à la décision attaquée. Or, le juge des assurances sociales apprécie la légalité des décisions entreprises, en principe, d'après l'état de fait existant lors de la clôture de la procédure administrative (ATF 148 V 21 consid. 5.3), les faits survenus par la suite et ayant modifié cette situation devant normalement faire l'objet d'une nouvelle décision (arrêt du Tribunal fédéral 9C_384/2023 du 11 janvier 2024 consid. 4.2). Compte tenu de ces éléments, l’expertise du Dr J______ doit se voir reconnaître une pleine valeur probante. La Cour de céans se ralliera ainsi à la capacité de travail totale admise au plan psychique dans une activité adaptée dès septembre 2020. Le recourant fait encore valoir que ses troubles physiques n’ont pas été pris en considération. Cette argumentation est cependant erronée. En effet, l'intimé a bien tenu compte de la capacité de travail de 70% à laquelle concluaient les experts sur ce plan en 2010. En l'absence de nouveau diagnostic d’ordre somatique, ou d'évolution défavorable des atteintes physiques constatées en 2010, c'est à juste titre que l'intimé n'a pas repris l'instruction sur ce plan. On ajoutera du reste que les médecins qui se sont prononcés après l'accident de 2006 concluaient eux-mêmes à une pleine capacité dans une activité adaptée aux limitations fonctionnelles résultant des atteintes somatiques, sous réserve d’une éventuelle baisse de rendement initiale.</w:t>
      </w:r>
    </w:p>
    <w:p>
      <w:r>
        <w:rPr>
          <w:b/>
        </w:rPr>
        <w:t>E. 12</w:t>
      </w:r>
    </w:p>
    <w:p>
      <w:r>
        <w:t>Reste à vérifier le calcul du degré d’invalidité. Le revenu sans invalidité correspond au montant communiqué par l’employeur, soit 13 mensualités de CHF 4'600.-, ou CHF 59'800.- par an en 2005. Une fois indexé à 2020 en fonction de l’indice suisse des salaires, ce revenu est de CHF 69'067.60. S’agissant du revenu sans invalidité, c’est à juste titre que l’intimé a appliqué la valeur statistique correspondant aux activités simples et répétitives selon l’ESS de 2018, soit CHF 5'417.- pour un homme. Indexé et adapté à la durée normale de travail, ce revenu s’élevait à CHF 68'924.- par an en 2020, ou CHF 48'247.- à 70%. On peut s’interroger sur l’absence d’abattement, au vu des circonstances. Cela étant, même en appliquant une réduction statistique de 10% pour tenir compte des limitations fonctionnelles et de l’activité possible seulement à temps partiel, le degré d’invalidité résultant de la comparaison des revenus serait de 37.13%, ce qui reste insuffisant pour ouvrir droit à une rente. Le calcul de l’intimé doit ainsi être confirmé dans son résultat.</w:t>
      </w:r>
    </w:p>
    <w:p>
      <w:r>
        <w:rPr>
          <w:b/>
        </w:rPr>
        <w:t>E. 13</w:t>
      </w:r>
    </w:p>
    <w:p>
      <w:r>
        <w:t>Il convient encore d’examiner le droit à des mesures de réadaptation, dès lors que le degré d’invalidité dépasse le seuil de 20% ouvrant en principe le droit à une mesure de reclassement selon la jurisprudence (ATF 139 V 399 consid. 5.3 ; arrêt du Tribunal fédéral 9C_689/2018 du 8 février 2019 consid. 4.2). C’est cependant à juste titre que l’intimé a nié le droit à de telles mesures dans le cas d’espèce. En effet, selon la jurisprudence, en l'absence d'aptitude subjective à la réadaptation, c'est-à-dire lorsque la volonté de se réadapter n'existe pas pour des raisons étrangères à l'invalidité, la rente peut être réduite ou supprimée sans examen préalable de mesures de réinsertion et sans qu'il soit nécessaire d'engager préalablement une procédure de mise en demeure avec un délai de réflexion au sens de l'art. 21 al. 4 LPGA (arrêt du Tribunal fédéral 9C_407/2021 du 17 mai 2022 consid. 6.3 et les références). Or, la motivation du recourant à suivre de telles mesures est inexistante, comme cela ressort du rapport d’expertise. Celui-ci a notamment expressément manifesté sa volonté de conserver sa rente, sans mesures de réadaptation, dans le cadre des entretiens d’expertise. L’expert a confirmé lors de son audition l’absence de motivation, ce que le recourant ne conteste du reste pas réellement. S’il s’est prévalu du fait que le Dr J______ a subordonné le succès d’une reprise du travail à l’octroi de mesures de réadaptation, c’est en réalité la suppression de la rente qu’il conteste, mais non le refus de telles mesures, dont il n’a pas demandé à bénéficier. Le fait qu’il ait conclu – subsidiairement et à un stade avancé de la procédure – à leur octroi ne suffit pas à se convaincre du contraire, cette conclusion ayant été formulée seulement une fois que l’intimé a souligné que des mesures de réadaptation n’avaient pas été requises. Dans ces conditions, force est de constater que l’aptitude subjective du recourant à la réadaptation fait défaut, de sorte que c’est à juste titre que l’intimé a nié le droit à ces mesures. Certes, le Dr J______ a pronostiqué l’échec d’une tentative de réinsertion si le recourant ne bénéficiait pas de mesures de réadaptation. Leur refus ne suffit toutefois pas à maintenir le droit à la rente, dès lors qu’il découle d’un manque de volonté du recourant en lien avec des facteurs étrangers à l’invalidité – par exemple le souhait d’entourer sa mère. Dans le cas contraire, il suffirait à un assuré de refuser de se soumettre à des mesures de réadaptation objectivement exigibles au plan médico-théorique pour conserver une rente, ce qui ne serait pas compatible avec le principe selon lequel la réadaptation prime la rente.</w:t>
      </w:r>
    </w:p>
    <w:p>
      <w:r>
        <w:rPr>
          <w:b/>
        </w:rPr>
        <w:t>E. 14</w:t>
      </w:r>
    </w:p>
    <w:p>
      <w:r>
        <w:t>Le recours est rejeté. Le recourant n’a pas droit à des dépens. La procédure en matière d’octroi de prestations d’assurance-invalidité n’étant pas gratuite (art. 69 al. 1 bis LAI), il supporte l’émolument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