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A/1815/2011 vom 8. Juli 2011</w:t>
      </w:r>
    </w:p>
    <w:p>
      <w:r>
        <w:t>GE Cour de justice, 2011-07-08, FR</w:t>
      </w:r>
    </w:p>
    <w:p>
      <w:r>
        <w:rPr>
          <w:b/>
        </w:rPr>
        <w:t xml:space="preserve">Quelle: </w:t>
      </w:r>
      <w:r>
        <w:t>https://mcp.opencaselaw.ch/entscheid/ge_gerichte_A_1815_2011</w:t>
      </w:r>
    </w:p>
    <w:p>
      <w:r>
        <w:t>FR: GE_GERICHTE A/1815/2011 du 8 juillet 2011</w:t>
      </w:r>
    </w:p>
    <w:p>
      <w:r>
        <w:t>IT: GE_GERICHTE A/1815/2011 del 8 luglio 2011</w:t>
      </w:r>
    </w:p>
    <w:p>
      <w:pPr>
        <w:pStyle w:val="Heading2"/>
      </w:pPr>
      <w:r>
        <w:t>Volltext</w:t>
      </w:r>
    </w:p>
    <w:p>
      <w:r>
        <w:t>Genève Cour de justice (Cour de droit public) Chambre administrative 08.07.2011 A/1815/2011</w:t>
      </w:r>
    </w:p>
    <w:p>
      <w:r>
        <w:t>A/1815/2011 ATA/441/2011 du 08.07.2011 ( EXPLOI ) , REFUSE RÉPUBLIQUE ET CANTON DE GENÈVE POUVOIR JUDICIAIRE A/1815/2011-EXPLOI ATA/441/2011 COUR DE JUSTICE Chambre administrative Décision du 8 juillet 2011 sur effet suspensif dans la cause Madame E______ représentée par Me Daniel Meyer, avocat contre SERVICE DU COMMERCE Vu l'autorisation délivrée par le service du commerce (ci-après : SCOM) le 29 juin 2009, permettant à Mme E______ de vendre des boissons fermentées et distillées à l'emporter dans le tabac-épicerie qu'elle exploite 21, rue du Y______ et précisant que cette vente à l'emporter est interdite de 21h00 à 07h00 du matin ; vu la décision du SCOM du 23 mai 2011 retirant à l'intéressée l'autorisation de vendre des boissons fermentées et distillées à l'emporter, déclarée exécutoire nonobstant recours ; qu'il ressort de cette décision que la gendarmerie avait constaté les 12 octobre et 22 novembre 2010 que le commerce de l'intéressée avait vendu des boissons alcoolisées au-delà des heures autorisées, ce qui avait amené le SCOM à ordonner la fermeture immédiate de l'établissement pour une durée de quatre jours ; que la gendarmerie avait de plus constaté que des boissons alcoolisées avaient été vendues le 14 janvier 2011 à 23h45, ce qui avait amené le SCOM à ordonner la fermeture de l'établissement pour une durée de trente jours ; que la Gérance immobilière municipale de la Ville de Genève, propriétaire des locaux, avait retiré le 14 avril 2011, l'autorisation qu'elle avait délivrée à Mme E______ de vendre des boissons alcooliques ; qu'ainsi, deux conditions essentielles prévues aux art. 6 let. c et d de la loi sur la vente à l'emporter des boissons alcoolisées du 22 juin 2004 (LVEBA I 2 24) n'étaient plus remplies ; vu le recours formé auprès de la chambre administrative de la section administrative de la Cour de justice (ci-après : la chambre) par Mme E______ contre cette décision le 10 juin 2011, concluant préalablement à la restitution de l'effet suspensif et, au fond, à l'annulation de la décision litigieuse ; que des discussions étaient en cours avec la Ville de Genève afin qu'elle puisse récupérer l'autorisation qui lui avait été donnée par son bailleur de vendre des boissons alcooliques ; que la décision litigieuse violait le principe ne bis in idem dès lors que Mme E______ avait déjà été sanctionnée pour les infractions retenues dans la décision litigieuse ; que, le 27 juin 2011, le SCOM s'est opposé à la restitution de l'effet suspensif, l'intérêt public poursuivi par la LVEBA l'emportant sur l'intérêt privé de la recourante, d'ordre économique et le recours n'ayant pas de chance de succès ; qu’à teneur de l’art. 66 al. 1 de la loi sur la procédure administrative du 12 septembre 1985 (LPA - E 5 10), le recours a effet suspensif, à moins que l’autorité intimée n’ait ordonné l’exécution de la décision litigieuse nonobstant recours ; que selon l’art. 66 al. 2 LPA, la chambre administrative peut restituer l’effet suspensif à la demande de la partie dont les intérêts sont gravement menacés, pour autant qu’aucun intérêt public prépondérant ne s’y oppose ; que selon la jurisprudence, il y a lieu d’effectuer une pesée entre les intérêts publics et privés en jeu, étant précisé que l’autorité peut aussi tenir compte des chances de succès du recours ( ATA/709/2010 du 15 octobre 2010 et les références citées) ; que l’intérêt public au maintien de l’ordre et de la tranquillité publics comme au respect de la loi sont importants, étant rappelé que la LVEBA a précisément pour but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(art. 1 al. 1 LVEBA) ; que l’intérêt privé de la recourante, de nature économique, à pouvoir exploiter son commerce, ne saurait être contesté ; qu’en l’état, la recourante ne dispose plus, prima facie , de l’autorisation de son bailleur, exigée par les art. 6 let. d LVEBA et 2 al. 2 let. d du règlement d’exécution de la loi sur la vente à l'emporter des boissons alcooliques du 26 janvier 2005 (RVEBA - I 2 24.01) ; que de ce fait, les chances de succès du recours apparaissent faibles ; qu’il n’apparaît dans ces circonstances pas disproportionné, à ce stade, de faire prévaloir l’intérêt public au maintien de l’ordre et de la tranquillité publics ; qu’ainsi, la demande de restitution de l’effet suspensif sera rejetée ; 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Meyer, avocat de la recourante ainsi qu'au service du commerce. La présidente siégeant : C.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