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A/1813/2002 vom 13. Januar 2005</w:t>
      </w:r>
    </w:p>
    <w:p>
      <w:r>
        <w:t>GE Cour de justice, 2005-01-13, FR</w:t>
      </w:r>
    </w:p>
    <w:p>
      <w:r>
        <w:rPr>
          <w:b/>
        </w:rPr>
        <w:t xml:space="preserve">Quelle: </w:t>
      </w:r>
      <w:r>
        <w:t>https://mcp.opencaselaw.ch/entscheid/ge_gerichte_A_1813_2002</w:t>
      </w:r>
    </w:p>
    <w:p>
      <w:r>
        <w:t>FR: GE_GERICHTE A/1813/2002 du 13 janvier 2005</w:t>
      </w:r>
    </w:p>
    <w:p>
      <w:r>
        <w:t>IT: GE_GERICHTE A/1813/2002 del 13 gennaio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(cf. art. 56 V LOJ). Sa compétence pour juger du cas d’espèce est ainsi établie.</w:t>
      </w:r>
    </w:p>
    <w:p>
      <w:r>
        <w:rPr>
          <w:b/>
        </w:rPr>
        <w:t>E. 3</w:t>
      </w:r>
    </w:p>
    <w:p>
      <w:r>
        <w:t>Le Tribunal de céans constate en outre que le recours interjeté dans les forme et délai légaux est recevable, conformément aux art. 69 de la loi fédérale sur l’assurance-invalidité du 19 juin 1959 (LAI) et 84 de la loi fédérale sur l’assurance-vieillesse et survivants du 20 décembre 1946 (LAVS).</w:t>
      </w:r>
    </w:p>
    <w:p>
      <w:r>
        <w:rPr>
          <w:b/>
        </w:rPr>
        <w:t>E. 4</w:t>
      </w:r>
    </w:p>
    <w:p>
      <w:r>
        <w:t>La loi fédérale sur la partie générale du droit des assurances sociales du 6 octobre 2000 (LPGA) est entrée en vigueur le 1er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 la LAI seront donc citées dans leur teneur en vigueur jusqu’au 31 décembre 2002.</w:t>
      </w:r>
    </w:p>
    <w:p>
      <w:r>
        <w:rPr>
          <w:b/>
        </w:rPr>
        <w:t>E. 5</w:t>
      </w:r>
    </w:p>
    <w:p>
      <w:r>
        <w:t>Aux termes de l'art. 4 LAI, l'invalidité est la diminution de la capacité de gain, présumée permanente ou de longue durée, qui résulte d'une atteinte à la santé physique ou mentale, provenant d'une infirmité congénitale, d'une maladie ou d'un accident. L’assuré a droit à une rente entière s’il est invalide à 66 2/3% au moins, à une demi-rente s’il est invalide à 50% au moins, ou à un quart de rente s’il est invalide à 40% au moins (art. 28 al. 1 LAI). La notion d’invalidité, au sens du droit des assurances sociales, est une notion économique et non médicale ; ce sont donc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les assurés actifs, le degré d'invalidité doit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Lorsqu’il n’est pas possible de déterminer à coup sûr les deux revenus hypothétiques, il faut - en s'inspirant de la méthode spécifique pour les non-actifs (art. 28 al. 3 LAI en liaison avec les art. 26bis et 27 al. 1 RAI) - procéder à une comparaison des activités et déterminer le degré d'invalidité d'après les effets de la capacité de rendement diminuée sur la situation économique dans le cas concret. Ce faisant, et contrairement à la méthode spécifique pour les non-actifs, l'invalidité n'est pas évaluée directement sur la base d'une comparaison des activités. On commence par déterminer, au moyen de cette comparaison, quel est l'empêchement provoqué par l'atteinte à la santé. Après quoi, on apprécie séparément les effets de cet empêchement sur la capacité de gain. Une certaine diminution de rendement fonctionnelle peut certes, dans le cas d'une personne active, entraîner une perte de gain de la même importance mais n'a pas nécessairement cette conséquence. Si l'on voulait, dans le cas des personnes exerçant une activité lucrative, se fonder exclusivement sur la comparaison des activités, on violerait le principe légal selon lequel l'invalidité de cette catégorie d'assurés doit être déterminée d'après l'incapacité de gain (VSI 1998 consid. 2b p. 257).</w:t>
      </w:r>
    </w:p>
    <w:p>
      <w:r>
        <w:rPr>
          <w:b/>
        </w:rPr>
        <w:t>E. 6</w:t>
      </w:r>
    </w:p>
    <w:p>
      <w:r>
        <w:t>En l’espèce, l’atteinte à la santé est clairement établie par les différents rapports médicaux versés au dossier et par l’expertise du Dr M___________. Au point de vue physique, il n’est pas contesté que l’assuré souffre de cervicalgies, lombalgies, bascule du bassin et syndrome pulmonaire. S’y ajoute les troubles psychiques diagnostiqués par le Dr M___________. A cet égard, il y a lieu de relever que l’expertise de ce dernier répond parfaitement aux réquisits de la jurisprudence. Sa valeur probante ne fait aucun doute dans la mesure où les points litigieux importants ont fait l’objet d’une étude fouillée, le rapport se fonde sur des examens complets, prend également en considération les plaintes exprimées, a été établi en pleine connaissance du dossier (anamnèse), la description du contexte médical est claire et enfin les conclusions de l’expert sont bien motivées (ATF 122 V 160 consid. 1c et réf.). Des investigations supplémentaires à ce niveau ne se justifient donc pas. Quant aux conséquences de ces atteintes sur la capacité de travail du recourant, elles ont été établies par le COPAI, dont le TFA a rappelé qu’il s’agit précisément d'une institution dont la fonction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ATFA I 540/03 du 10 novembre 2004 consid. 4.1 ; ATFA I 220/04 du 20 septembre 2004, consid. 4.2).</w:t>
      </w:r>
    </w:p>
    <w:p>
      <w:r>
        <w:rPr>
          <w:b/>
        </w:rPr>
        <w:t>E. 7</w:t>
      </w:r>
    </w:p>
    <w:p>
      <w:r>
        <w:t>En l’espèce, il ressort des différents avis de taxation versés au dossier que le chiffre d’affaires brut réalisé par le recourant les années précédant son incapacité de travail s’établit de la manière suivante  : année taxation 1995 1994 50’400 taxation 1996 1995 24’200 taxation 1997 1996 18’409 Le rapport établi par le COPAI, qui conclut à une capacité de travail de 80% évoluant vers un 100%, dans une activité adaptée, c'est-à-dire excluant le port de lourdes charges et les travaux de force, paraît convaincant. Il va dans le même sens que le rapport médical du Dr M___________, qui ne fixe d’ailleurs pas quantitativement le taux de la capacité de travail. L’activité précédemment exercée, de vendeur automobile, serait donc parfaitement exigible de l’assuré. Cela étant, les limitations dues à son état de santé ne suffisent donc pas à lui ouvrir droit à une rente.</w:t>
      </w:r>
    </w:p>
    <w:p>
      <w:r>
        <w:rPr>
          <w:b/>
        </w:rPr>
        <w:t>E. 8</w:t>
      </w:r>
    </w:p>
    <w:p>
      <w:r>
        <w:t>S’agissant du calcul de la rente du recourant, il y a lieu de relever que ce dernier ne fait valoir aucun argument, si ce n’est que le montant lui semble trop faible. Le calcul des rentes ordinaire est déterminé par les années de cotisations, les revenus provenant d’une activité lucrative entre le 1 er janvier qui suit la date où l’ayant droit a eu vingt ans révolus et le 31 décembre précédant la réalisation du risque assuré (âge de la retraite ou décès ; art. 29bis al. 1 LAVS et 36 al. 2 LAI) Les revenus acquis pendant les années civiles de mariage commun sont répartis et attribués pour moitié à chacun des époux en vertu de l’art. 29quinquies LAVS. Les revenus réalisés par les conjoints durant l’année de la conclusion du mariage ainsi que durant l’année de la dissolution du mariage ne sont pas soumis au partage (art. 50b al. 3 LAVS). Les années civiles durant lesquelles seul l’un des conjoints était assuré ne sont pas soumises au splitting. En l’espèce, seule l’année 1985 a été partagée puisque l’ex-épouse de l’assuré a quitté la Suisse à la fin de l’année 1985 et qu’elle n’était dès lors plus assurée. Les bonifications pour tâches éducatives sont attribuées pour les périodes durant lesquelles les parents ou l’un des parents avaient des enfants et étaient assurés conformément à l’art. 1a al. 1 et 3 ou à l’art. 2 LAVS. Si les parents sont mariés, la bonification pour tâches éducatives est partagée par moitié durant les années civiles de mariage commun (art. 29septies LAVS). En l’espèce, il a été attribué une demi-bonification à l’assuré pour l’année 1985, - soit lorsqu’il était marié - et une bonification entière pour l’année 1986 - puisque son épouse n’était plus assurée ayant quitté la Suisse pour l’Angleterre à la fin de l’année 1985. A relever que, nonobstant le splitting, le revenu annuel déterminant est resté identique du fait que l’année 1985 splittée a été compensée par la demi-bonification supplémentaire. Eu égard aux considérations qui précèdent, il apparaît que le calcul de la caisse n’est pas critiquable. Ce grief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