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A/1812/2015 vom 29. Juni 2015</w:t>
      </w:r>
    </w:p>
    <w:p>
      <w:r>
        <w:t>GE Cour de justice, 2015-06-29, FR</w:t>
      </w:r>
    </w:p>
    <w:p>
      <w:r>
        <w:rPr>
          <w:b/>
        </w:rPr>
        <w:t xml:space="preserve">Quelle: </w:t>
      </w:r>
      <w:r>
        <w:t>https://mcp.opencaselaw.ch/entscheid/ge_gerichte_A_1812_2015</w:t>
      </w:r>
    </w:p>
    <w:p>
      <w:r>
        <w:t>FR: GE_GERICHTE A/1812/2015 du 29 juin 2015</w:t>
      </w:r>
    </w:p>
    <w:p>
      <w:r>
        <w:t>IT: GE_GERICHTE A/1812/2015 del 29 giugno 2015</w:t>
      </w:r>
    </w:p>
    <w:p>
      <w:pPr>
        <w:pStyle w:val="Heading2"/>
      </w:pPr>
      <w:r>
        <w:t>Volltext</w:t>
      </w:r>
    </w:p>
    <w:p>
      <w:r>
        <w:t>Genève Cour de justice (Cour de droit public) Chambre des assurances sociales 29.06.2015 A/1812/2015</w:t>
      </w:r>
    </w:p>
    <w:p>
      <w:r>
        <w:t>A/1812/2015 ATAS/499/2015 du 29.06.2015 ( FFP ) , ADMIS rÉpublique et canton de genÈve POUVOIR JUDICIAIRE A/1812/2015 ATAS/499/2015 COUR DE JUSTICE Chambre des assurances sociales Arrêt du 29 juin 2015 6 ème Chambre En la cause A______, sis à GENÈVE recourante contre CAISSE CANTONALE GENEVOISE DE COMPENSATION, sise Rue des Gares 12, GenÈve intimée Vu en fait la décision de la caisse cantonale genevoise de compensation (CCGC) du 24 mai 2015 fixant la taxe professionnelle 2015 pour l'association A______ sur la base d'un effectif de 20 personnes; Vu le recours de A______ du 29 mai 2015 arguant que la taxe professionnelle devait être calculée sur un effectif de 8 personnes; , Vu la réponse de la CCGC du 23 juin 2015 indiquant que sa décision du 24 mai 2015 était incorrecte et qu'elle allait rendre une nouvelle décision tenant compte d'un effectif de 8 personnes. Attendu en droit que conformément à l'art. 134. al. 2 let. c) de la loi sur l'organisation judiciaire, du 9 octobre 2009, entrée en vigueur le 1 er janvier 2011 (LOJ ; RS E 2 05), la chambre des assurances sociales de la Cour de justice connaît, en instance unique, des contestations prévues à l'art. 66 al. 1 de la loi sur la formation professionnelle, du 15 juin 2007 (LFP ; RS C 2 05); Que sa compétence pour juger du cas d'espèce est ainsi établie; Qu'interjeté en temps utile, le recours est recevable (art. 66 al. 2 LFP); Qu'en l'espèce, la CCGC ayant proposé de reconsidérer la décision litigieuse, il convient d'admettre le recours, d'annuler celle-ci et de renvoyer la cause à la CCGC pour nouvelle décision. PAR CES MOTIFS, LA CHAMBRE DES ASSURANCES SOCIALES : Statuant A la forme : 1.        Déclare le recours recevable.![endif]&gt;![if&gt; Au fond : 2.        L'admet.![endif]&gt;![if&gt; 3.        Annule la décision de l'intimée du 24 mai 2015.![endif]&gt;![if&gt; 4.        Renvoie la cause à l'intimée pour nouvelle décision.![endif]&gt;![if&gt;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Alicia PERRONE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