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A/1808/2023 vom 9. Februar 2024</w:t>
      </w:r>
    </w:p>
    <w:p>
      <w:r>
        <w:t>GE Cour de justice, 2024-02-09, FR</w:t>
      </w:r>
    </w:p>
    <w:p>
      <w:r>
        <w:rPr>
          <w:b/>
        </w:rPr>
        <w:t xml:space="preserve">Quelle: </w:t>
      </w:r>
      <w:r>
        <w:t>https://mcp.opencaselaw.ch/entscheid/ge_gerichte_A_1808_2023</w:t>
      </w:r>
    </w:p>
    <w:p>
      <w:r>
        <w:t>FR: GE_GERICHTE A/1808/2023 du 9 février 2024</w:t>
      </w:r>
    </w:p>
    <w:p>
      <w:r>
        <w:t>IT: GE_GERICHTE A/1808/2023 del 9 febbraio 2024</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LACI.![endif]&gt;![if&gt; Sa compétence pour juger du cas d’espèce est ainsi établie.</w:t>
      </w:r>
    </w:p>
    <w:p>
      <w:r>
        <w:rPr>
          <w:b/>
        </w:rPr>
        <w:t>E. 1.2</w:t>
      </w:r>
    </w:p>
    <w:p>
      <w:r>
        <w:t>Interjeté en temps utile, le recours est recevable (art. 60 LPGA).![endif]&gt;![if&gt;</w:t>
      </w:r>
    </w:p>
    <w:p>
      <w:r>
        <w:rPr>
          <w:b/>
        </w:rPr>
        <w:t>E. 2</w:t>
      </w:r>
    </w:p>
    <w:p>
      <w:r>
        <w:t>Le litige porte sur le droit de la recourante à l’indemnité de chômage, singulièrement sur la question de savoir si un motif de libération des conditions relatives à la période de cotisations peut être admis en raison de la formation entreprise.![endif]&gt;![if&gt;</w:t>
      </w:r>
    </w:p>
    <w:p>
      <w:r>
        <w:rPr>
          <w:b/>
        </w:rPr>
        <w:t>E. 2.1</w:t>
      </w:r>
    </w:p>
    <w:p>
      <w:r>
        <w:t>Selon l’art 8 al. LACI, l'assuré a droit à l'indemnité de chômage :![endif]&gt;![if&gt;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cotisations ou en est libéré (art. 13 et 14); f. s'il est apte au placement (art. 15); et g. s'il satisfait aux exigences du contrôle (art. 17). Selon l’art. 9 al. 1 à 3 LACI, des délais-cadres de deux ans s'appliquent aux périodes d'indemnisation et de cotisations, sauf disposition contraire de la loi (al. 1). Le délai-cadre applicable à la période de l'indemnisation commence à courir le premier jour où toutes les conditions dont dépend le droit à l'indemnité sont réunies (al. 2). Le délai-cadre applicable à la période de cotisations commence à courir deux ans plus tôt (al. 3). Selon l’art. 13 al. 1 LACI, celui qui, dans les limites du délai-cadre prévu à cet effet (art. 9, al. 3), a exercé durant douze mois au moins une activité soumise à cotisations remplit les conditions relatives à la période de cotisations.</w:t>
      </w:r>
    </w:p>
    <w:p>
      <w:r>
        <w:rPr>
          <w:b/>
        </w:rPr>
        <w:t>E. 2.2</w:t>
      </w:r>
    </w:p>
    <w:p>
      <w:r>
        <w:t>Selon l’art. 14 al. 1 LACI, sont notamment libérées des conditions relatives à la période de cotisations les personnes qui, dans les limites du délai-cadre (art. 9 al. 3) et pendant plus de douze mois au total, n'étaient pas parties à un rapport de travail et, partant, n'ont pu remplir les conditions relatives à la période de cotisations, pour cause de formation scolaire, reconversion ou perfectionnement professionnel, à la condition qu'elles aient été domiciliées en Suisse pendant dix ans au moins (let. a). ![endif]&gt;![if&gt; Cette disposition vise à soutenir financièrement les personnes sans emploi qui n’ont pas pu travailler en raison d’une formation, notamment (BORIS RUBIN, Commentaire de la loi sur l'assurance-chômage, 2014, p.133). Il doit exister une relation de causalité entre le non-accomplissement de la période de cotisations et l'empêchement mentionné dans la loi. Cette causalité exigée par la disposition légale n'est donnée que si, pour l'un des motifs retenus par la loi, il n'était pas possible, ni raisonnablement exigible pour l'assuré d'exercer une activité, même à temps partiel (ATF 130 V 229 consid. 1.2.3; arrêt du Tribunal fédéral 8C_174/2015 du 11 février 2016 consid. 3 ; THOMAS NUSSBAUMER, Arbeitslosenversicherung, in: Schweizerisches Bundes-verwaltungsrecht [SBVR], Sécurité sociale, 3 e éd. 2016, n. 234 p. 2335; RUBIN, op. cit ., p. 136). C'est d'ailleurs en considération de cette exigence que le législateur a voulu que l'empêchement dure plus de douze mois au moins : en cas d'empêchement de plus courte durée, l'assuré dispose, en règle ordinaire, d'un laps de temps suffisant, durant le délai-cadre de deux ans, pour exercer une activité soumise à cotisations de six mois, respectivement de douze mois au moins (Message concernant une nouvelle loi fédérale sur l'assurance-chômage obligatoire et l'indemnité en cas d'insolvabilité, FF 1980 III 567 ; arrêt du Tribunal fédéral des assurances C 98/03 du 10 juillet 2003 consid. 3.1 ; arrêt du Tribunal fédéral du 11 février 2016 8C_174/2015 ). Selon le Bulletin LACI (teneur du 1 er octobre 2012), l’assuré doit prouver l’existence de la formation accomplie en produisant un certificat de l’établissement de formation où sont indiqués la durée de la formation (début et fin) et les heures, y compris les heures de préparation, qu'il y a consacrées (p. 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 Lorsque l’assurance-chômage indemnise une personne libérée des conditions relatives à la période de cotisations, elle ne compense pas une perte de gain liée au chômage (c’est-à-dire liée à une perte de travail). Elle vise, pour des motifs sociaux précis, à soutenir financièrement une personne qui recherche du travail sans avoir cotisé préalablement (DTA 2007 p.199 consid. 5.2.3 ; RUBIN, op. cit ., p. 134). Constituent des motifs de libération au sens de l'art. 14 al. 1 let. a LACI, une formation scolaire, une reconversion ou un perfectionnement professionnel. Sont visées dans ce cadre toutes les activités qui ont pour but de préparer de manière systématique à une future activité professionnelle (ATF 122 V 43 consid. 3c/aa). Lesdites activités doivent être fondées sur un cycle de formation usuel réglementaire, reconnu juridiquement ou, à tout le moins, de fait. La formation doit être méthodique et organisée (SVR 1995 ALV p. 135 ; arrêt du Tribunal fédéral des assurance C 157/03 du 2 septembre 2003). Cette définition correspond à la notion de formation au sens de l’art. 25 al. 5 LAVS (DTA 2005 p. 207 consid. 2.2 p. 209 ; 1991 p. 83 consid. 3a p. 85). Peuvent faire valoir un motif de libération au sens de l’art. 14 al. 1 let. a LACI, aussi bien les jeunes personnes entrant dans la vie active, que les adultes ayant déjà accompli une longue carrière professionnelle (RUBIN, op. cit. , 2014, p. 137).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L’exigence du caractère suffisamment vérifiable est analogue à celle qui prévaut s’agissant de l’accomplissement d’une activité soumise à cotisations (ATF 108 V 103 consid. 2b).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(RUBIN, op. cit ., p.137). Entrent dans la notion de formation au sens de l’art. 14 al. 1 let a LACI : la scolarité obligatoire, les études supérieures, les compléments au cursus universitaire, les reconversions, les perfectionnements professionnels, ainsi que les stages pratiques faisant partie intégrante d’une formation, pour autant que ces derniers ne soient pas rémunérés (RUBIN, op. cit. , p.137).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[ 8C_312/2008 ] consid. 6.1). Sa durée dépendra des circonstances du cas individuel et notamment de l’éventuel exercice d’une activité à temps partiel en parallèle à la préparation (RUBIN, op. cit . p.138). 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du 5 mars 2012 consid. 6.2).</w:t>
      </w:r>
    </w:p>
    <w:p>
      <w:r>
        <w:rPr>
          <w:b/>
        </w:rPr>
        <w:t>E. 2.3</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![endif]&gt;![if&gt;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2.4</w:t>
      </w:r>
    </w:p>
    <w:p>
      <w:r>
        <w:t>En l’espèce, il est constant que la recourante ne remplit pas – dans le délai-cadre de cotisations du 12 février 2021 au 11 février 2023 – les conditions de l’art. 13 al. 1 LACI, de sorte que se pose la question de savoir si elle est libérée, par la formation entreprise, des conditions relatives à la période de cotisations.![endif]&gt;![if&gt; Dans la décision entreprise, l’intimée a considéré que la recourante ne pouvait se prévaloir d’aucun motif de libération, puisque la formation entreprise ne l’occupait pas à plein temps, ce qui était de nature à rompre le lien de causalité entre le motif de formation invoqué et l’empêchement d’exercer une activité salariée. La recourante conteste ce raisonnement, estimant qu’en raison de ses difficultés scolaires, elle avait dû consacrer plus de temps au travail personnel que les dix heures par semaine estimées par l’école dans son attestation d’études. Un tel argument ne suffit toutefois pas pour retenir un motif de libération des conditions relatives à la période de cotisations. Outre le fait que la recourante n’apporte aucune pièce à l’appui des difficultés invoquées, mettant par hypothèse en évidence des troubles permettant de justifier des aménagements scolaires, elle perd de vue que, pour retenir un motif de libération, les formations suivies doivent être suffisamment contrôlables. C’est précisément pour cette raison que les formations accomplies en autoformation ne peuvent pas, en règle générale, être reconnues. On ne saurait ainsi se fonder sur des estimations individuelles du temps consacré à la formation. L’autorité peut, au contraire, exiger de l’assuré un certificat ou une attestation de l’établissement qui a dispensé la formation, afin de pouvoir vérifier l’existence, la durée et l’ampleur de la formation alléguée. Or en l’occurrence, l’attestation d’études du 17 avril 2023 produite par l’intéressée fait état de quinze cours par semaine, auxquels s’ajoutent dix heures de travail personnel, pour la période du 27 septembre 2021 au 24 juin 2022. Force est ainsi de retenir qu’une telle formation laissait à la recourante la possibilité d'avoir en parallèle une activité professionnelle, à tout le moins à temps partiel. Dans ces conditions, il convient de considérer qu'il n'y a pas de lien de causalité entre la formation suivie par la recourante et l'absence de cotisations durant la période cadre de deux ans précédant son inscription au chômage. Partant, la décision litigieuse ne peut qu’être confirmée et le recours rejeté.</w:t>
      </w:r>
    </w:p>
    <w:p>
      <w:r>
        <w:rPr>
          <w:b/>
        </w:rPr>
        <w:t>E. 2.5</w:t>
      </w:r>
    </w:p>
    <w:p>
      <w:r>
        <w:t>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