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A/1808/2021 vom 21. Februar 2022</w:t>
      </w:r>
    </w:p>
    <w:p>
      <w:r>
        <w:t>GE Cour de justice, 2022-02-21, FR</w:t>
      </w:r>
    </w:p>
    <w:p>
      <w:r>
        <w:rPr>
          <w:b/>
        </w:rPr>
        <w:t xml:space="preserve">Quelle: </w:t>
      </w:r>
      <w:r>
        <w:t>https://mcp.opencaselaw.ch/entscheid/ge_gerichte_A_1808_2021</w:t>
      </w:r>
    </w:p>
    <w:p>
      <w:r>
        <w:t>FR: GE_GERICHTE A/1808/2021 du 21 février 2022</w:t>
      </w:r>
    </w:p>
    <w:p>
      <w:r>
        <w:t>IT: GE_GERICHTE A/1808/2021 del 21 febbraio 2022</w:t>
      </w:r>
    </w:p>
    <w:p>
      <w:pPr>
        <w:pStyle w:val="Heading2"/>
      </w:pPr>
      <w:r>
        <w:t>Erwägungen</w:t>
      </w:r>
    </w:p>
    <w:p>
      <w:r>
        <w:rPr>
          <w:b/>
        </w:rPr>
        <w:t>E. 11</w:t>
      </w:r>
    </w:p>
    <w:p>
      <w:r>
        <w:t>En dernier lieu, le recourant requiert que le taux de l’indemnité pour atteinte à l’intégrité qui lui a été accordée soit porté à 30% au lieu de 20%.</w:t>
      </w:r>
    </w:p>
    <w:p>
      <w:r>
        <w:rPr>
          <w:b/>
        </w:rPr>
        <w:t>E. 11.1</w:t>
      </w:r>
    </w:p>
    <w:p>
      <w:r>
        <w:t>Aux termes de l'art. 24 LAA, si par suite d'un accident, l'assuré souffre d'une atteinte importante et durable à son intégrité physique, mentale ou psychique, il a droit à une indemnité équitable pour atteinte à l'intégrité (al. 1). Aux termes de l'art.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11.2</w:t>
      </w:r>
    </w:p>
    <w:p>
      <w:r>
        <w:t>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de l'OLAA. Cette annexe comporte un barème - reconnu conforme à la loi et non exhaustif (ATF 124 V 29 consid. 1b, 209 consid. 4a/bb ; 113 V 218 consid. 2a) - des lésions fréquentes et caractéristiques, évaluées en pour cent.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ATF 124 V 209 consid. 4.cc; ATF 116 V 156 consid. 3). Selon la table 5 concernant les atteintes résultant d'arthroses avant l'implant, l'arthrose moyenne du genou (fémoro-tibiale) correspond à une atteinte de 5% à 15% et une arthrose grave à une atteinte de 15% à 30% (cf. https://www.suva.ch/fr-CH/materiel/documentation/tableau-05-atteinte-a-l-integrite-resultant-d-arthroses). La table 5 précise que, conformément à l’arrêt du Tribunal fédéral des assurances U 313/02 du 4 septembre 2003, l’implant d’une endoprothèse s’oriente sur l’état non corrigé, c’est-à-dire sur le degré de gravité de l’arthrose avant l’implant (colonnes 2 et 3). Pour les prothèses implantées directement après l’accident (endoprothèses primaires), les colonnes 5 et 6 entrent en application. Le taux d'une atteinte à l'intégrité doit être évalué exclusivement sur la base de constatations médicales (ATF 115 V 147 consid. 1; ATF 113 V 218 consid. 4b; RAMA 2004 p. 415; arrêt du Tribunal fédéral des assurances U.134/03 du 12 janvier 2004 consid. 5.2).</w:t>
      </w:r>
    </w:p>
    <w:p>
      <w:r>
        <w:rPr>
          <w:b/>
        </w:rPr>
        <w:t>E. 11.3</w:t>
      </w:r>
    </w:p>
    <w:p>
      <w:r>
        <w:t>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En effet, l'indemnité pour atteinte à l'intégrité vise dans ces cas à compenser, du moins en partie, l'atteinte physique ou psychique en tant que telle, et non pas les conséquences de celle-ci sur les fonctions de la vie ou le mode de vie en général (arrêts du Tribunal fédéral des assurances U 313/02 du 4 septembre 2003; U 40/01 du 4 septembre 2001 consid. 4c; voir également l'arrêt U 56/05 précité).</w:t>
      </w:r>
    </w:p>
    <w:p>
      <w:r>
        <w:rPr>
          <w:b/>
        </w:rPr>
        <w:t>E. 11.4</w:t>
      </w:r>
    </w:p>
    <w:p>
      <w:r>
        <w:t>En l’espèce, le Dr I______ a évalué l’atteinte à l’intégrité en se référant aux tables d’indemnisation de la SUVA, singulièrement à la table n° 5 (atteinte à l’intégrité résultant d’arthrose) dont il résulte que le taux de l’atteinte est fixé entre 15 et 30% en cas d’arthrose fémoro-tibiale grave. Selon ce médecin, il ne s’agit pas d’une pangonarthrose, mais d’une lésion d’arthrose invalidante au niveau du compartiment fémoro-tibial interne, qui peut être évaluée à 20%. La chambre de céans constate que l’appréciation du Dr I______ se rapporte à la situation antérieure à l’installation de la prothèse du genou droit. À l’inverse, dans la mesure où le recourant – pour justifier une augmentation à 30% du taux de l’indemnité pour atteinte à l’intégrité – souligne le résultat « mitigé » auquel a conduit l’installation de sa prothèse, en se référant au rapport du Dr J______ du 14 septembre 2018, son argumentation repose sur la situation prévalant après la pose de la prothèse et se révèle donc dénuée de pertinence, au regard de la jurisprudence, qui prescrit d’évaluer l’atteinte à l’intégrité en fonction de l’état de santé « non corrigé » (cf. arrêts du Tribunal fédéral 8C_131/2018 du 25 juillet 2018 consid. 7 [prothèse de l’épaule] et 8C_542/2012 du 8 juillet 2013 consid. 7 [prothèse de la hanche]). De surcroît, en se limitant à mettre en exergue le résultat mitigé de son opération du genou, le recourant omet de préciser que dans un rapport subséquent (daté du 22 novembre 2018), le Dr J______ a fait état d’une situation globalement favorable, d’une mobilité complète du genou et d’une prothèse « bien en place ». Pour le reste, il y a lieu de relever qu’hormis le Dr I______, aucun médecin ne s’est prononcé sur la question du taux de l’atteinte à l’intégrité, de sorte que le dossier ne renferme aucun avis médical propre à mettre en doute l’appréciation du médecin d’arrondissement sur ce point. Dans la mesure où le taux de 20% retenu par le Dr I______ se situe dans la fourchette applicable aux arthroses graves du genou avant implant (15% à 30%), les critiques du recourant ne sont pas de nature à mettre en cause son appréciation. Aussi, le taux de l’atteinte à l’intégrité, arrêté à 20%, sera-t-il confirmé.</w:t>
      </w:r>
    </w:p>
    <w:p>
      <w:r>
        <w:rPr>
          <w:b/>
        </w:rPr>
        <w:t>E. 12</w:t>
      </w:r>
    </w:p>
    <w:p>
      <w:r>
        <w:t>La documentation versée au dossier permettant déjà à la chambre de céans de statuer en connaissance de cause sur le degré d’invalidité et le taux de l’atteinte à l’intégrité, il n’y a pas lieu d’ordonner de mesure d’instruction complémentaire, par appréciation anticipée des preuves. Dans ce contexte, il paraît opportun de rappeler que dans la procédure d’octroi de prestations d’assurances sociales, il n’existe un droit formel à une expertise médicale qu’en cas de doutes quant à la fiabilité et la pertinence des constatations des médecins internes à l’assurance (ATF 135 V 465 consid. 4), ce qui n’est pas le cas ici, au vu des avis convergents des Drs G______, I______ et L______ et du fait que le Dr J______ n’a pas mis en évidence d’élément objectif que ces médecins n’auraient déjà pris en compte.</w:t>
      </w:r>
    </w:p>
    <w:p>
      <w:r>
        <w:rPr>
          <w:b/>
        </w:rPr>
        <w:t>E. 13</w:t>
      </w:r>
    </w:p>
    <w:p>
      <w:r>
        <w:t>Mal fondé, le recours est rejeté.</w:t>
      </w:r>
    </w:p>
    <w:p>
      <w:r>
        <w:rPr>
          <w:b/>
        </w:rPr>
        <w:t>E. 14</w:t>
      </w:r>
    </w:p>
    <w:p>
      <w:r>
        <w:t>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