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A/1804/2019 vom 22. Dezember 2020</w:t>
      </w:r>
    </w:p>
    <w:p>
      <w:r>
        <w:t>GE Cour de justice, 2020-12-22, FR</w:t>
      </w:r>
    </w:p>
    <w:p>
      <w:r>
        <w:rPr>
          <w:b/>
        </w:rPr>
        <w:t xml:space="preserve">Quelle: </w:t>
      </w:r>
      <w:r>
        <w:t>https://mcp.opencaselaw.ch/entscheid/ge_gerichte_A_1804_2019</w:t>
      </w:r>
    </w:p>
    <w:p>
      <w:r>
        <w:t>FR: GE_GERICHTE A/1804/2019 du 22 décembre 2020</w:t>
      </w:r>
    </w:p>
    <w:p>
      <w:r>
        <w:t>IT: GE_GERICHTE A/1804/2019 del 22 dicembre 2020</w:t>
      </w:r>
    </w:p>
    <w:p>
      <w:pPr>
        <w:pStyle w:val="Heading2"/>
      </w:pPr>
      <w:r>
        <w:t>Erwägungen</w:t>
      </w:r>
    </w:p>
    <w:p>
      <w:r>
        <w:rPr>
          <w:b/>
        </w:rPr>
        <w:t>E. 12</w:t>
      </w:r>
    </w:p>
    <w:p>
      <w:r>
        <w:t>de G______, conférant le droit de louer l'appartement n o 3______. 4) Les intimées demandent la production des cinquante dernières décisions octroyant des autorisations d'aliéner un appartement. 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Ce droit n'empêche cependant pas la juridiction saisie de renoncer à l'administration de certaines preuves offertes et de procéder à une appréciation anticipée de ces dernières, si elle acquiert la certitude que celles-ci ne l'amèneront pas à modifier son opinion ou si le fait à établir résulte déjà des constatations ressortant du dossier (ATF 140 I 285 consid. 6.3.1 ; 136 I 229 consid. 5.2). b. En l'espèce, la demande de production est formulée dans le but de démontrer que l'autorité recourante aurait une pratique tendant à la délivrance d'autorisations d'aliéner assorties d'une réserve concernant l'application ultérieures de l'art. 39 al. 4 de la loi sur les démolitions, transformations et rénovations de maisons d'habitation (mesures de soutien en faveur des locataires et de l'emploi) du 25 janvier 1996 (LDTR - L 5 20). Néanmoins, l'existence d'une telle pratique n'est pas déterminante dans le cas d'espèce, compte tenu de ce qui suit, et la chambre administrative dispose d'un dossier complet lui permettant de trancher le litige en toute connaissance de cause. Il ne sera par conséquent pas donné suite à la requête des intimées. 5) L'autorité recourante affirme que l'autorisation d'aliéner ne devrait pas être délivrée. a.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Pour remédier à la pénurie d'appartements locatifs dont la population a besoin, tout appartement jusqu'alors destiné à la location doit conserver son affectation locative, dans les limites du chapitre relatif aux mesures visant à lutter contre la pénurie d'appartements locatifs (art. 25 al. 1 LDTR). Il y a pénurie d'appartements lorsque le taux des logements vacants considéré par catégorie est inférieur à 2 % du parc immobilier de la même catégorie (art. 25 al. 2 LDTR). Les appartements de plus de sept pièces n'entrent pas dans une catégorie où sévit la pénurie (art. 25 al. 3 LDTR). b. Selon l'art. 11 al. 3 du règlement d'application de la LDTR du 29 avril 1996 (RDTR - L 5 20.01), par appartement jusqu'alors offert en location, au sens de l'art. 39 al. 1 LDTR, il faut entendre l'appartement loué lors du dépôt de la requête en autorisation d'aliéner (let. a), l'appartement vide ou vacant lors du dépôt de la requête en autorisation d'aliéner, mais qui a précédemment été loué par sa ou son propriétaire actuel (let. b), ou l'appartement occupé, lors du dépôt de la requête en autorisation d'aliéner, par sa ou son propriétaire, si celle-ci ou celui-ci a précédemment loué l'appartement considéré (let. c). Nonobstant la teneur de l'art. 11 al. 3 RDTR, une autorisation d'aliéner doit impérativement être requise en cas de vente d'un ou plusieurs appartement(s) acquis par voie d'adjudication (art. 11 al. 4 RDTR). c. Les catégories de logements où sévit la pénurie sont déterminées chaque année par arrêté du Conseil d'État en fonction du nombre de pièces par appartement (art. 11 al. 1 RDTR). Le Conseil d'État a constaté en 2018, 2019 et 2020 qu'il y avait pénurie, au sens des art. 25 et 39 LDTR, dans toutes les catégories des appartements d'une à sept pièces inclusivement (arrêtés du Conseil d'État déterminant les catégories de logements où sévit la pénurie en vue de l'application des art. 25 à 39 LDTR des 29 novembre 2017, 19 décembre 2018 et 1 er juillet 2020 - ArAppart - L 5 20.03). d. En l'espèce, l'appartement concerné - situé dans un immeuble d'habitation en troisième zone de développement et donc assujetti à la LDTR (art. 2 LDTR) - entre, par son nombre de pièces, dans une catégorie de logements où sévit la pénurie et est actuellement offert à la location. Son aliénation, notamment par le biais du transfert du certificat d'actions de la SIAL correspondant, est par conséquent soumise à autorisation, conclusion qui n'est d'ailleurs contestée ni par l'autorité recourante, ni par les intimées. 6) a. Le DT autorise l'aliénation d'un appartement si celui-ci a été dès sa construction soumis au régime de la PPE ou à une forme de propriété analogue, sous réserve du régime applicable à l'aliénation d'appartements destinés à la vente régi par l'article 8A de loi générale sur les zones de développement du 29 juin 1957 (LGZD - L 1 35 ; let. a) ; était, le 30 mars 1985, soumis au régime de la PPE ou à une forme de propriété analogue et qu'il avait déjà été cédé de manière individualisée (let. b) ; n'a jamais été loué (let. c) ;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 personne acquéreuse ne peut les revendre que sous la même forme, sous réserve de l'obtention d'une autorisation individualisée (art. 39 al. 4 LDTR). En cas de réalisation de l'une des hypothèses de l'art. 39 al. 4 LDTR, le DT est tenu de délivrer l'autorisation d'aliéner. Il n'y a donc, le cas échéant, pas de place pour une pesée des intérêts au sens de l'art. 39 al. 2 LDTR. Les conditions posées à l'art. 39 al. 4 LDTR sont alternatives ( ATA/725/2020 du 4 août 2020 consid. 2f ; ATA/870/2019 du 7 mai 2019 consid. 4b) b. Au vu de la marge d'appréciation dont elle dispose, lorsqu'aucun des motifs d'autorisation expressément prévus par l'art. 39 al. 4 LDTR n'est réalisé, l'autorité doit rechercher si l'intérêt public l'emporte sur l'intérêt privé de la personne à aliéner l'appartement dont elle est propriétaire (arrêts du Tribunal fédéral 1C_137/2011 ; 1C_139/2011 ; 1C_141/2011 ; 1C_143/2011 du 14 juillet 2011 ; ATA/545/2020 du 29 mai 2020 consid. 5). Dans le cadre de l'examen de la requête en autorisation, le DT procède à la pesée des intérêts publics et privés en présence (art. 13 al. 1 RDTR). L'intérêt privé est présumé l'emporter sur l'intérêt public lorsque la ou le propriétaire doit vendre l'appartement par nécessité de liquider un régime matrimonial ou une succession (let. a), par nécessité de satisfaire aux exigences d'un plan de désendettement (let. b), ou du fait de la prise d'un nouveau domicile en dehors du canton (let. c ; art. 13 al. 3 RDTR). Le DT refuse l'autorisation lorsqu'un motif prépondérant d'intérêt public ou d'intérêt général s'y oppose. L'intérêt public et l'intérêt général résident dans le maintien, en période de pénurie de logements, de l'affectation locative des appartements loués (art. 39 al. 2 LDTR). La politique prévue par la LDTR, qui tend à préserver l'habitat et les conditions de vie existants, en restreignant notamment le changement d'affectation des maisons d'habitation (art. 1 al. 1 et 2 let. a LDTR), procède d'un intérêt public important (arrêts du Tribunal fédéral 1C_416/2016 du 27 mars 2017 consid. 2.3 ; 1C_68/2015 du 5 août 2015 consid. 2.3 ; 1C_143/2011 du 14 juillet 2011).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consid. 7b/aa ; ATA/1313/2019 du 3 septembre 2019 consid. 7). Dans le cas d'appartements en PPE, la vente en bloc de ces derniers doit être préférée à la vente par unités séparées, ce procédé-là ne mettant en principe pas en péril les buts de la LDTR (arrêt du Tribunal fédéral 1C_137/2011 précité consid. 3.3). Toutefois, même dans ce cadre, la vente en bloc de petits lots d'appartements augmente la probabilité d'une vente ultérieure de logements individualisés aux locataires en place et, partant, le risque d'atteinte au parc immobilier locatif protégé par la LDTR. Il y a donc lieu de privilégier une approche stricte de la protection conférée par cette loi pour éviter une telle atteinte par des « ventes à la découpe ». Ainsi, même en cas de vente en bloc, l'aliénatrice ou aliénateur doit justifier d'un intérêt privé particulier (arrêt du Tribunal fédéral 1C_137/2011 précité consid. 3.3). 7) a. Le principe de la bonne foi entre administration et administré, exprimé aux art. 9 et 5 al. 3 Cst. exige que l'une et l'autre se comportent réciproquement de manière loyale. En particulier, l'administration doit s'abstenir de toute attitude propre à tromper l'administrée ou l'administré et elle ne saurait tirer aucun avantage des conséquences d'une incorrection ou insuffisance de sa part (ATF 138 I 49 consid. 8.3 ; 129 I 161 consid. 4 ; arrêt du Tribunal fédéral 2C_227/2015 du 31 mai 2016 consid. 7 ; Thierry TANQUEREL, Manuel de droit administratif, 2 ème éd., 2018, n. 568 p. 203). b. Il y a fraude à la loi - forme particulière d'abus de droit - lorsqu'une ou un justiciable évite l'application d'une norme imposant ou interdisant un certain résultat par le biais d'une autre norme permettant d'aboutir à ce résultat de manière apparemment conforme au droit (ATF 142 II 206 consid. 2.3 ; arrêt du Tribunal fédéral 1C_124/2017 précité consid. 4.1). La norme éludée doit alors être appliquée nonobstant la construction juridique destinée à la contourner (ATF 142 II 206 consid. 2.3 ; 134 I 65 consid. 5.1 ; arrêt du Tribunal fédéral 1C_124/2017 précité consid. 4.1).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8) En l'espèce, le TAPI a constaté, à juste titre, qu'aucun des cas de délivrance des autorisations d'aliéner selon l'art. 39 al. 4 LDTR n'était réalisé, conclusion qui n'est pas contestée devant la chambre administrative, les intimées ayant abandonné leur argumentation selon laquelle le cas d'espèce constituerait une vente en bloc. L'autorité recourante remet cependant en cause la pesée des intérêts effectuée par l'instance précédente en application de l'art. 39 al. 2 LDTR. 9) a. Les intérêts qui s'opposent sont, d'une part, les intérêts privés de la cédante à vendre le certificat d'actions n o 12, emportant le droit de louer l'appartement n o 3______, à la cessionnaire et ceux de cette dernière à l'acquérir ainsi que, d'autre part, l'intérêt public à la protection du parc locatif genevois. Le TAPI a retenu que les intérêts invoqués par les intimées n'étaient pas « spécialement importants », mais que l'aliénation de l'appartement considéré, par le biais de la cession du certificat d'actions attaché à celui-ci, n'avait pas pour effet de faire perdre l'affectation locative du logement - l'immeuble demeurant en SIAL et la titulaire du certificat d'actions restant légalement une locataire - et ne parachevait pas le processus d'individualisation de l'appartement en question - n'impliquant en réalité aucun changement de la situation. b. Mme A______ a fait valoir, à l'appui de sa requête en autorisation d'aliéner, sa volonté de ne pas rester dans la SIAL suite à l'arrêt du Tribunal fédéral 1C_124/2017 précité, volonté qu'elle a réitérée lors de l'audience devant le TAPI, et son besoin de liquidités. Le fait de vouloir sortir de la SIAL car la fraude à la loi n'a pas pu aboutir, contrairement à ce qui était prévu par l'intermédiaire de la succession d'opérations mises en place, destinée à aboutir à l'acquisition du lot de PPE sans devoir requérir d'autorisation d'aliéner, ne peut constituer un intérêt à prendre en compte dans la pesée des intérêts, sauf à récompenser ladite fraude à loi. Certes, Mme A______ n'était pas personnellement partie à la procédure qui a donné lieu à l'arrêt du Tribunal fédéral 1C_124/2017 précité, de sorte que la constatation de fraude à la loi intervenue dans cette procédure ne lui est pas directement opposable. Néanmoins, l'acte de cession de 2013 mentionnait déjà la future modification des statuts et prévoyait en outre que l'échéance du « prêt vendeur », soit du prêt accordé par M. D______, était fixée à la liquidation de la SIAL, ce qui instaurait dans les faits un paiement en deux temps : le premier lors de la conclusion de l'acte de cession et le second lorsque la part de PPE aurait été transférée et la SIAL liquidée. Le prêt n'est d'ailleurs en lui-même qu'un indice de plus de la fraude à loi, puisque, dans le montage tel que prévu initialement, il permettait aux protagonistes d'instaurer dans les faits le paiement en deux temps mais également à M. D______ de rester économiquement propriétaire des actions tant que la part de PPE n'était pas transférée et la SIAL liquidée. Ceci démontre que, contrairement à ce qu'a retenu l'instance précédente, la cédante n'était pas en marge du système mis en place mais y a participé dès la conclusion de la première cession. Mme A______ a d'ailleurs elle-même confirmé cette appréciation en expliquant devant le TAPI qu'elle avait initialement acheté les actions dans le but de devenir, à terme, propriétaire de l'appartement, ceci alors même qu'il ne s'agissait alors pas d'acheter une part de PPE- même si l'immeuble était pourtant déjà soumis au régime de la PPE -, ni même des actions dans une SIAL, mais simplement les actions d'une société propriétaire d'un immeuble, puisque G______ a été transformée en SIAL postérieurement à l'achat des actions. Dans ce contexte, l'intérêt de Mme A______ à sortir d'un système dans lequel elle est sciemment entrée, et mis en place afin de contourner la loi, ne peut en tant que tel être protégé. Quant au prétendu besoin de liquidités, non seulement une partie du prix de vente est destinée à être perçue par remboursement du prêt contracté lors de la première cession et donc sans dégagement de liquidités, mais surtout Mme A______ n'a apporté aucune substance à son allégation. Elle n'a ainsi pas démontré l'état de sa situation financière ni expliqué pourquoi elle aurait besoin de ces liquidités. Au vu de ce qui précède, les intérêts évoqués n'ont pas de substance et la cédante n'a pas établi d'autres intérêts que sa pure convenance personnelle pour justifier sa volonté d'aliéner l'appartement. Il sera à cet égard constaté que les deux intérêts invoqués par Mme A______ dans sa requête d'autorisation d'aliéner sont en réalité des intérêts génériques qui ont également été invoqués pour d'autres aliénations d'actions de la même SIAL et d'une autre SIAL également liée à M. D______ dans des causes parallèles, dans la plupart des cas avec exactement les mêmes mots, ce qui ne fait que confirmer que son intérêt relève en réalité de la convenance personnelle. c. En ce qui concerne les intérêts privés de la cessionnaire, les intimées ont indiqué que B______ achetait le certificat d'actions à titre d'investissement, soit pour des motifs commerciaux. 10) Face à ces intérêts privés, purement commerciaux et de convenance personnelle, se trouve l'intérêt public au maintien de l'affectation locative de l'appartement, sur lequel le TAPI s'est en définitive basé pour retenir que l'autorisation d'aliéner devait être accordée, puisqu'il ne serait aucunement affecté par la cession en cause. Toutefois, contrairement à ce qu'a retenu le TAPI, ladite cession ne fait pas que répéter l'opération lors de laquelle le certificat d'actions est passée de G______ (recte : M. D______) à Mme A______, puisque G______ n'était alors pas constituée sous forme de SIAL et qu'il y a alors eu uniquement un transfert d'actions sans lien avec un appartement précis. En réalité, et contrairement au raisonnement de l'instance précédente, la cession litigieuse ne peut être considérée isolément de l'ensemble des opérations effectuées par rapport à l'immeuble. En effet, dans le cadre du litige relatif aux demandes d'autorisation d'aliéner des parts de PPE aux actionnaires correspondants, le Tribunal fédéral a constaté que la succession des opérations - mise en PPE de l'immeuble en 2007, vente des actions en février 2013, constitution sous forme de SIAL en mai 2013 et transfert des lots de PPE entre janvier et avril 2014 - faisait apparaître qu'il s'agissait d'un montage mis sur pied dès l'origine (arrêt du Tribunal fédéral 1C_124/2017 précité consid. 4.4). Or, si l'opération présentement considérée n'a quant à elle pas été envisagée dès l'origine, il s'agit d'une solution alternative adoptée en raison de l'impossibilité d'aliéner les parts de PPE, laquelle permet de parachever, à l'issue de toutes les opérations préalables, l'individualisation de l'appartement concerné et de légitimer cette individualisation si elle était validée par autorisation d'aliéner. En dépit de son caractère subsidiaire, il n'en demeure pas moins qu'il s'agit d'une étape finale de la fraude à la loi mise sur pied dès l'origine et constatée par le Tribunal fédéral. Comme le souligne l'autorité recourante, le caractère insolite de l'ensemble des opérations est d'autant plus confirmé dans le cas d'espèce par le jeu du prêt contracté par Mme A______, ajouté à l'omniprésence de M. D______. En effet, Mme A______ a contracté un prêt auprès de M. D______ pour acheter à M. D______ des actions d'une première société dont M. D______ est administrateur président, G______, et qui a son siège auprès d'une deuxième société, la régie C______, dont M. D______ est également administrateur président. Depuis que Mme A______ est actionnaire, tout est géré par la régie C______, selon ses déclarations devant le TAPI. À cet égard, il sera relevé que, si elle a affirmé devant le TAPI avoir perçu des loyers, modiques, le dernier document relatif au bail de l'appartement figurant au dossier, postérieur à la cession de 2013 et à la transformation en SIAL, a été conclu entre la locataire et G______, et non Mme A______. Or, son statut d'actionnaire de la SIAL confère à cette dernière le droit de louer l'appartement n o 3______ mais non l'obligation de le faire, de sorte qu'il n'est pas établi le bail avec la locataire en place depuis de nombreuses années aurait été transféré de G______ à Mme A______ et que cette dernière serait effectivement devenue locataire et la locataire sous-locataire. En tout état, Mme A______ souhaite à présent revendre les actions de la première société, G______, après sa transformation en SIAL, à une troisième société dont M. D______ est aussi administrateur président, B______, et qui a également son siège auprès de la régie C______, en prévoyant qu'une partie du prix de vente serait réglé par remboursement du prêt contracté auprès de M. D______ lors de la première cession - cependant désigné comme contracté auprès de la régie C______ selon le contenu du deuxième acte de cession -, les deux parties se faisant de plus représenter, dans le cadre du litige sur l'autorisation d'aliéner, par la régie C______. La requête en autorisation d'aliéner indique expressément qu'il s'agit en réalité d'une ré-acquisition par M. D______, par l'intermédiaire de l'une de ses sociétés. Ce qui précède démontre l'ampleur et la finesse du montage mis sur pied afin d'aboutir au final à l'individualisation de l'appartement, par le biais d'une fraude à la loi, stratégie dans laquelle les protagonistes ont persisté en dépit de sa constatation par les instances judicaires, y compris le Tribunal fédéral. Or, l'octroi de l'autorisation d'aliéner reviendrait à valider ladite fraude à la loi et à la couronner de succès, par la finalisation de l'individualisation de l'appartement malgré l'absence d'intérêts privés substantiels, un tel résultat se heurtant à un intérêt public évident. À cet égard, il convient de relever que, contrairement à ce que soutiennent les intimées et à ce qu'a retenu le TAPI, le fait que l'appartement demeure dans la SIAL et que l'actionnaire garde un droit de location sur cet appartement ne permet pas de conclure que tout risque de sortie du parc locatif est exclu, puisque la location existant dans le cadre de la SIAL constitue une forme analogue à la propriété ( ATA/80/2014 du 12 février 2014 consid. 7). C'est d'ailleurs précisément pour cette raison que le transfert du certificat d'actions est soumis à autorisation conformément au texte de l'art. 39 al. 1 LDTR. Le montage mis sur pied pour aboutir finalement, sans intérêt privé prépondérant, à l'individualisation de l'appartement, n'est que confirmé par la proximité temporelle avec laquelle d'autres actionnaires de la SIAL et d'une autre SIAL également liée à M. D______ - qui a fait l'objet de l'arrêt du Tribunal fédéral 1C_123/2017 du 23 novembre 2017 - ont également sollicité des autorisations d'aliéner leurs certificats d'actions, toujours à des sociétés ayant des liens avec M. D______. Comme relevé par le TAPI, ces demandes ont aussi fait l'objet de refus et font l'objet de causes parallèles, également délibérées ce jour. Au surplus, il sera relevé que contrairement à ce qu'ont retenu l'autorité intimée et le TAPI, pour rétablir la situation initiale, il faudrait que les actions soient cédées à M. D______, cédant en 2013, et non à G______, de sorte que la situation financière de cette dernière n'est pas pertinente. L'absence de moyens financiers de G______, telle qu'alléguée par les recourantes, tendrait tout au plus à confirmer qu'elle n'aurait pas fonctionné comme une véritable propriétaire depuis la répartition du capital-actions entre les différents acquéreuses et acquéreurs en 2013. À cet égard, il sera relevé que la prise en charge de travaux par la cédante, telle qu'alléguée pour justifier de l'absence de caractère spéculatif du prix de vente, suggère par exemple que G______ n'aurait pas constitué de réserves pour les travaux, alors que la prise en charge de travaux lui incombait, en tant que propriétaire, contrairement aux actionnaires de la SIAL, qui ne doivent les assumer ni en tant que tels ni en tant qu'éventuels locataires. Ces éléments ne constituent en définitive que des indices supplémentaires du caractère fictif du montage mis en place. Pour le reste, s'il ne revient pas à l'autorité recourante, ni à la chambre de céans de trouver la solution permettant à la cédante de sortir de la situation dans laquelle elle se retrouve du fait même de la tentative de fraude à la loi, il sera relevé que le rétablissement de la situation initiale apparaît d'autant plus aisé que M. D______ a lui-même financé la cession initiale de 2013. Au vu de l'ensemble des éléments qui précèdent, l'intérêt public est largement prépondérant et l'emporte sur les intérêts privés invoqués. L'instance précédente a par conséquent abusé de son pouvoir d'appréciation en retenant le contraire et le grief sera admis. 11) Enfin, conformément à la jurisprudence du Tribunal fédéral applicable au vu de la large prépondérance de l'intérêt public en l'espèce (arrêt du Tribunal fédéral 1C_124/2017 du 23 novembre 2017 consid. 3.2), la restriction est conforme à la garantie de la propriété consacrée par l'art. 26 Cst.. Dans ces circonstances, le jugement du TAPI sera annulé et l'arrêté sera rétabli. 12) Vu l'issue du litige, un émolument de CHF 2'000.- sera mis à la charge solidaire des intimées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