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A/1803/2019 vom 10. September 2019</w:t>
      </w:r>
    </w:p>
    <w:p>
      <w:r>
        <w:t>GE Cour de justice, 2019-09-10, FR</w:t>
      </w:r>
    </w:p>
    <w:p>
      <w:r>
        <w:rPr>
          <w:b/>
        </w:rPr>
        <w:t xml:space="preserve">Quelle: </w:t>
      </w:r>
      <w:r>
        <w:t>https://mcp.opencaselaw.ch/entscheid/ge_gerichte_A_1803_2019</w:t>
      </w:r>
    </w:p>
    <w:p>
      <w:r>
        <w:t>FR: GE_GERICHTE A/1803/2019 du 10 septembre 2019</w:t>
      </w:r>
    </w:p>
    <w:p>
      <w:r>
        <w:t>IT: GE_GERICHTE A/1803/2019 del 10 settembre 2019</w:t>
      </w:r>
    </w:p>
    <w:p>
      <w:pPr>
        <w:pStyle w:val="Heading2"/>
      </w:pPr>
      <w:r>
        <w:t>Erwägungen</w:t>
      </w:r>
    </w:p>
    <w:p>
      <w:r>
        <w:rPr>
          <w:b/>
        </w:rPr>
        <w:t>E. 1</w:t>
      </w:r>
    </w:p>
    <w:p>
      <w:r>
        <w:t>ère Chambre En la cause Monsieur A______, domicilié aux ACACIAS, comparant avec élection de domicile en l'étude de Maître Corinne ARPIN recourant contre OFFICE DE L'ASSURANCE-INVALIDITÉ DU CANTON DE GENÈVE, sis rue des Gares 12, GENÈVE intimé EN FAIT 1.        Monsieur A______ (ci-après l'assuré), né le ______ 1960, ayant exercé la profession de tôlier en carrosserie, a déposé le 3 octobre 2014 une demande de prestations auprès de l'office de l'assurance-invalidité du canton de Genève (ci-après l'OAI). 2.        L'OAI a rendu un prononcé le 26 septembre 2018, aux termes duquel le droit à une rente entière d'invalidité était reconnu à l'assuré dès le 1 er avril 2015. 3.        Par courrier du 14 novembre 2018, l'Hospice général a transmis à la caisse cantonale genevoise de compensation (ci-après la caisse) une demande de compensation avec des paiements rétroactifs de l'AVS-AI pour la période allant du 1 er avril 2015 au 30 novembre 2018, précisant que l'assuré avait signé un ordre de paiement en sa faveur le 8 octobre 2015. 4.        Par décision du 20 novembre 2018, une rente entière d'invalidité a été accordée à l'assuré à compter du 1 er avril 2015. Il est indiqué que le montant de CHF 70'532.-, représentant le rétroactif des rentes, est retenu en faveur de l'Hospice général. 5.        Par décision du 12 avril 2019, constatant que ledit montant de CHF 70'532.- avait été versé à tort à l'assuré, l'OAI lui en a réclamé la restitution. 6.        L'assuré a interjeté recours le 9 mai 2019 contre ladite décision. 7.        Le 21 mai 2019, il a été invité par le greffe de la chambre de céans à compléter son recours (conclusions et exposé succinct des faits ou des motifs invoqués). 8.        Par courrier du 7 juin 2019, Me Corinne ARPIN s'est constituée pour la défense des intérêts de l'assuré et s'est déterminée le 21 juin 2019. 9.        La mandataire de l'assuré a produit un certificat établi par la doctoresse B______, le 9 mai 2019, attestant que ce dernier n'avait plus sa capacité de discernement concernant la gestion de son argent depuis novembre 2018. Elle en conclut que sa bonne foi ne saurait être mise en doute. Elle précise par ailleurs que la rente d'invalidité dont il bénéficie ne lui permet pas de couvrir ses besoins vitaux, de sorte qu'il se trouve dans une situation financière difficile. Elle considère dès lors que les conditions d'une remise sont réunies. Elle conclut à l'annulation de la décision du 12 avril 2019 et à ce qu'il soit dit que les conditions de la remise sont réalisées. 10.    Dans sa réponse du 19 juillet 2019, la caisse a conclu, principalement, au rejet du recours et, subsidiairement, au renvoi de la cause à l'OAI comme objet de sa compétence sur la demande de remise. Le 19 juillet 2019, l'OAI s'en est rapporté intégralement aux conclusions de la caisse. 11.    Dans sa réplique du 16 août 2019, la mandataire de l'assuré a à nouveau soutenu que les conditions de la remise étaient manifestement remplies et qu'il aurait dû être renoncé à demander la restitution, conformément à l'art. 3 al. 3 OPGA. 12.    Ce courrier a été transmis à l'OAI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 et 60 LPGA; art. 89B de la loi sur la procédure administrative du 12 septembre 1985 - [LPA-GE - E 5 10]).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4.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de l'ordonnance sur la partie générale du droit des assurances sociales du 11 septembre 2002 - RS 830.11, OPGA ; arrêt du Tribunal fédéral 9C_678/2011 du 4 janvier 2002, consid. 5.1.1 et 5.2). 5.        Le litige porte sur le droit de l'OAI de réclamer à l'assuré le remboursement de la somme de CHF 70'532.-, représentant le rétroactif des rentes d'invalidité du 1 er avril 2015 au 30 novembre 2018. 6.        a. L'art. 22 al. 1 LPGA prévoit que le droit aux prestations est incessible; il ne peut être donné en gage. Toute cession ou mise en gage est nulle. En revanche, selon l'art. 22 al. 2 LPGA, les prestations accordées rétroactivement par l'assureur social peuvent être cédées : (a) à l'employeur ou à une institution d'aide sociale publique ou privée dans la mesure où ceux-ci ont consenti des avances; (b) à l'assureur qui a pris provisoirement à sa charge des prestations. b/aa. À teneur de l'art. 85bis al. 1 du règlement du 17 janvier 1961 sur l'assurance-invalidité du 17 janvier 1961 (RAI -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À noter que ce régime n'a pas été modifié par l'entrée en vigueur de l'art. 22 al. 2 LPGA (arrêts du tribunal fédéral 9C_731/2010 du 20 juin 2011 consid. 3 et I 518/05 du 14 août 2006, in SVR 2007 IV n° 14 p. 52). b/bb. En vertu de l'art. 85bis al. 2 RAI, sont considérées comme des avances : (a)    les prestations librement consenties, que l'assuré s'est engagé à rembourser, pour autant qu'il ait convenu par écrit que l'arriéré serait versé au tiers ayant effectué l'avance; (b)   celles versées contractuellement ou légalement, pour autant que le droit au remboursement, en cas de paiement d'une rente, puisse être déduit sans équivoque du contrat ou de la loi. b/cc. Les arrérages de rente peuvent être versés à l'organisme ayant consenti une avance jusqu'à concurrence, au plus, du montant de celle-ci et pour la période à laquelle se rapportent les rentes (art. 85bis al. 3 RAI). c. Les avances librement consenties selon l'art. 85bis al. 2 let. a RAI supposent le consentement écrit de la personne intéressée pour que le créancier puisse en exiger le remboursement. Dans l'éventualité de l'art. 85bis al. 2 let. b RAI, le consentement n'est pas nécessaire, celui-ci étant remplacé par l'exigence d'un droit au remboursement « sans équivoque ». Pour que l'on puisse parler d'un droit non équivoque au remboursement à l'égard de l'assurance-invalidité, il faut que le droit direct au remboursement découle expressément d'une norme légale ou contractuelle (voir par exemple VSI 2003 p. 265, I 31/00; ATF 133 V 14 consid. 8.3 ; ATF 131 V 249 consid. 6.2). d. En l'espèce, l'assuré ne conteste ni le principe de la restitution, ni le montant. Il suffira dès lors de rappeler que l'OAI avait expressément prévu, dans sa décision du 20 novembre 2018, que la somme de CHF 70'532.-, représentant le rétroactif des rentes, soit retenu en faveur de l'Hospice général, au vu des avances que celui-ci avait versées à l'assuré selon la demande de compensation du 14 novembre 2018, et au vu de l'ordre de paiement signé par l'assuré le 8 octobre 2015. Or, ce montant a été directement versé à l'assuré. C'est en conséquence à juste titre que l'OAI entend lui en demander la restitution conformément à l'art. 25 al. 1, 1 ère phrase, LPGA, selon lequel les prestations indûment touchées doivent être restituées. 7.        a. Aux termes de l'art. 25 al. 2, 1 ère phrase, LPGA (RS 830.1), le droit de demander la restitution de prestations indûment touchées s'éteint un an après le moment où l'institution d'assurance a eu connaissance du motif de restitution, mais au plus tard cinq ans après le versement de la prestation. Selon la jurisprudence, il s'agit de délais (relatif et absolu) de péremption (ATF 142 V 20 consid. 3.2.2 p. 24 et les références). Ces délais ne peuvent par conséquent être interrompus. Lorsque l'autorité a accompli l'acte conservatoire que prescrit la loi, le délai se trouve sauvegardé, cela une fois pour toutes (arrêt 8C_616/2009 du 14 décembre 2009 consid. 3.1 et les références).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p. 525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À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(arrêt 9C_454/2012 du 18 mars 2013 consid. 4, non publié à l'ATF 139 V 106 et les références). b. La chambre de céans constate qu'en réclamant la restitution du rétroactif le 12 avril 2019, alors que la décision d'octroi de rente a été rendue le 20 novembre 2018, l'OAI a quoi qu'il en soit respecté les délais d'un an et de cinq ans. Aussi la décision de restitution du 12 avril 2019 doit-elle être confirmée. Le recours est, partant, rejeté. Aux termes de l'art. 25 al. 1, 2 ème phrase, LPGA, la restitution ne peut être exigée lorsque l'intéressé était de bonne foi et qu'elle le mettrait dans une situation difficile. La cause est renvoyée à l'OAI pour examen des conditions permettant la remise de l'obligation de restituer et pour nouvelle décision, étant considéré qu'il n'est pas manifeste que tel soit le cas (art. 3 OPGA).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