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A/179/2023 vom 14. November 2023</w:t>
      </w:r>
    </w:p>
    <w:p>
      <w:r>
        <w:t>GE Cour de justice, 2023-11-14, FR</w:t>
      </w:r>
    </w:p>
    <w:p>
      <w:r>
        <w:rPr>
          <w:b/>
        </w:rPr>
        <w:t xml:space="preserve">Quelle: </w:t>
      </w:r>
      <w:r>
        <w:t>https://mcp.opencaselaw.ch/entscheid/ge_gerichte_A_179_2023</w:t>
      </w:r>
    </w:p>
    <w:p>
      <w:r>
        <w:t>FR: GE_GERICHTE A/179/2023 du 14 novembre 2023</w:t>
      </w:r>
    </w:p>
    <w:p>
      <w:r>
        <w:t>IT: GE_GERICHTE A/179/2023 del 14 novembre 2023</w:t>
      </w:r>
    </w:p>
    <w:p>
      <w:pPr>
        <w:pStyle w:val="Heading2"/>
      </w:pPr>
      <w:r>
        <w:t>Regeste</w:t>
      </w:r>
    </w:p>
    <w:p>
      <w:r>
        <w:t>DROIT FISCAL;LOI FÉDÉRALE SUR LA TAXE D'EXEMPTION DE L'OBLIGATION DE SERVIR;DOUBLE NATIONAL;RÉVISION(DÉCISION);MOTIF DE RÉVISION;NOUVEAU MOYEN DE FAIT | Rejet de la demande de révision de l'arrêt | LPA.64.al2; LPA.19; LPA.87.al1; OTEO.40.al1; OTEO.40.al2; LTEO.4.al1.lete; LTEO.31.al2; LIFD.147.al1; LIFD.147.al2; Convention.4; Convention.6</w:t>
      </w:r>
    </w:p>
    <w:p>
      <w:pPr>
        <w:pStyle w:val="Heading2"/>
      </w:pPr>
      <w:r>
        <w:t>Erwägungen</w:t>
      </w:r>
    </w:p>
    <w:p>
      <w:r>
        <w:rPr>
          <w:b/>
        </w:rPr>
        <w:t>E. 2</w:t>
      </w:r>
    </w:p>
    <w:p>
      <w:r>
        <w:t>Dès lors que la demande de A______ du 10 janvier 2023 se réfère à un fait nouveau ou, plutôt, à un nouveau moyen de preuve susceptible de remettre en cause l' ATA/1173/2022 du 22 novembre 2022 rendu par la chambre administrative, elle constitue bien une demande en révision au sens des art. 40 et 41 OTEO.</w:t>
      </w:r>
    </w:p>
    <w:p>
      <w:r>
        <w:rPr>
          <w:b/>
        </w:rPr>
        <w:t>E. 3</w:t>
      </w:r>
    </w:p>
    <w:p>
      <w:r>
        <w:t>Reste à examiner si la présente demande en révision remplit les conditions ouvrant la voie à la révision.</w:t>
      </w:r>
    </w:p>
    <w:p>
      <w:r>
        <w:rPr>
          <w:b/>
        </w:rPr>
        <w:t>E. 3.1</w:t>
      </w:r>
    </w:p>
    <w:p>
      <w:r>
        <w:t>Selon l'art. 40 al. 1 OTEO, l’autorité de taxation ou l’instance de recours procède à la révision d’une décision entrée en force, d’office ou à la demande de la personne touchée par celle-ci : si des faits nouveaux importants sont allégués ou de nouveaux moyens de preuve produits (let. a) ; si l’autorité n’a pas tenu compte de faits ou de demandes importants établis par pièces (let. b) ; si l’autorité a violé des principes essentiels de la procédure, en particulier le droit de consulter les pièces et celui d’être entendu (let. c). Ces motifs de révision correspondent à ceux prévus à l'art. 147 al. 1 et 2 de la loi fédérale sur l'impôt fédéral direct du 14 décembre 1990 (LIFD - RS 642.11), de sorte que l'on peut, dans leur interprétation, se fonder sur la jurisprudence et la doctrine relatives à l'impôt fédéral direct (arrêts du Tribunal fédéral 2C 212/2016 du 6 septembre 2016 consid. 5.2 ; 2C_564/2008 du 12 septembre 2008 consid. 5).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du Tribunal fédéral 2C_93/2021 du 9 novembre 2021 consid. 7 ; 2C_245/2019 du 27 septembre 2019 consid. 5.2 et les références citées). En outre, le fait doit être important, en ce sens que son existence est de nature à influencer la décision dans un sens favorable au demandeur (arrêt du Tribunal fédéral 9C_674/2022 du 12 avril 2023 consid. 7.1).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du 27 mai 2014 consid. 3.3 et 2A.710/2006 du 23 mai 2007 consid. 3.2).</w:t>
      </w:r>
    </w:p>
    <w:p>
      <w:r>
        <w:rPr>
          <w:b/>
        </w:rPr>
        <w:t>E. 3.2</w:t>
      </w:r>
    </w:p>
    <w:p>
      <w:r>
        <w:t>La révision est exclue lorsque le requérant invoque des motifs qu’il aurait pu faire valoir au cours de la procédure ordinaire s’il avait fait preuve de toute la diligence pouvant raisonnablement être exigée de lui (art. 40 al. 2 OTEO). À l'instar de l'art. 147 al. 2 LIFD, il faut, selon la jurisprudence, admettre que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du 27 septembre 2019 consid. 5.3 et les références citées).</w:t>
      </w:r>
    </w:p>
    <w:p>
      <w:r>
        <w:rPr>
          <w:b/>
        </w:rPr>
        <w:t>E. 4</w:t>
      </w:r>
    </w:p>
    <w:p>
      <w:r>
        <w:t>Selon l'art. 4 al. 1 de la convention, sous réserve de l’al. 2, le citoyen de l’un des deux États contractants qui acquiert la nationalité de l’autre État après le 1 er janvier de l’année au cours de laquelle il atteint l’âge de 18 ans est astreint aux obligations militaires de l’État dans lequel il a sa résidence habituelle au moment de sa naturalisation. Il peut néanmoins, dans le délai d’une année dès sa naturalisation, déclarer vouloir accomplir ses obligations militaires à l’égard de l’autre État contractant. Le double-national qui, avant sa naturalisation, a accompli des obligations militaires à l’égard de l’État dont il possédait déjà la nationalité, ou en a été exempté ou libéré, ne reste astreint à d’éventuelles autres obligations militaires qu’à l’égard de son État d’origine. Vis-à-vis de l’État dont il acquiert la nationalité par naturalisation, les obligations militaires sont considérées comme accomplies (art. 4 al. 2 de la convention). À la demande du double-national, l’autorité compétente de l’État à la législation duquel il est soumis, soit par sa résidence, soit par son choix, établit un certificat conforme au modèle D annexé à la convention et le lui remet. Ce certificat lui sert à prouver sa situation à l’égard de l’autre (art. 6 al. 1 de la convention).</w:t>
      </w:r>
    </w:p>
    <w:p>
      <w:r>
        <w:rPr>
          <w:b/>
        </w:rPr>
        <w:t>E. 5</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ATA/1137/2023 du 17 octobre 2023 consid. 7.3 ; ATA/970/2023 du 5 septembre 2023 consid. 2.5).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arrêt du Tribunal fédéral 1C_2/2020 du 13 mai 2020 consid. 3.1 ; ATF 139 II 185 consid. 9.2 ; 130 II 482 consid. 3.2 ; ATA/1016/2023 du 19 septembre 2023 consid. 6.1 ; ATA/930/2023 du 29 août 2023 consid. 6.1).</w:t>
      </w:r>
    </w:p>
    <w:p>
      <w:r>
        <w:rPr>
          <w:b/>
        </w:rPr>
        <w:t>E. 6</w:t>
      </w:r>
    </w:p>
    <w:p>
      <w:r>
        <w:t>En l'espèce, le demandeur se prévaut du formulaire D du 23 décembre 2022 rempli et délivré par les autorités militaires italiennes pour solliciter la révision de l' ATA/1173/2022 . Ce certificat est censé prouver sa situation militaire à l'égard de la Suisse. À sa lecture, il énonce que le demandeur « a accompli effectivement les obligations militaires auxquelles il était soumis en Italie ( SOSPENSIONE OBBLIGO LEVA ) » ( Ha assolto effettivamente gli obblighi militari ai quali era sottoposto in ITALIA ( SOSPENSIONE OBBLIGO LEVA ). L'adjonction au stylo de l'indication " SOSPENSIONE OBBLIGO LEVA" se réfère à la suspension de la conscription. Il faut convenir avec l'AFC-CH qu'il y a une contradiction à faire figurer sur le formulaire que le demandeur a effectivement accompli ses obligations militaires, suivi de la référence à la suspension de la conscription. Soit il a effectivement accompli ses obligations militaires, soit sa conscription a été suspendue. Outre que ces indications sont contradictoires, elles sont également dépourvues de cohérence au regard des informations retenues dans la procédure ordinaire. Il ressort en particulier du formulaire D du 24 mai 2021, produit dans celle-ci et rempli par les mêmes autorités militaires italiennes, que le demandeur n'avait pas été astreint aux obligations militaires en raison de la suspension/suppression du service militaire obligatoire par l'Italie en 2005. En effet, il est clairement établi, sans que cela soit contesté, que le demandeur avait reporté sa conscription et n'avait plus été rappelé par les autorités militaires italiennes à la suite de la suppression du service militaire obligatoire en 2005. Ainsi, la chambre de céans a constaté de manière décisive que le demandeur n'avait jamais subi de conscription en Italie. En conséquence, il y a lieu de douter de la véracité des informations figurant sur le formulaire D du 23 décembre 2022. Elles ne sont corroborées par aucun nouvel élément concret et tangible. Tant les autorités italiennes que le demandeur ne justifient les modifications apportées aux indications relatives à la situation militaire de ce dernier opérées sur le formulaire le 23 décembre 2022 par rapport à celles antérieures issues du formulaire D du 24 mai 2021. Tout au plus, le demandeur se contente de produire un échange de courriels qu'il a eu avec les autorités militaires italiennes, duquel il ressort que le formulaire D a été modifié à sa demande expresse, à la suite de l'arrêt entrepris. Aussi et surtout, le demandeur aurait pu obtenir des autorités militaires italiennes que les indications dont il se prévaut dans la présente procédure soient transcrites à l'origine sur le formulaire D du 24 mai 2021, ou du moins corrigées avant le prononcé de l'arrêt dont la révision est demandée, sauf à retenir une absence de diligence de sa part. Il en résulte que ce document ne saurait constituer un nouveau moyen de preuve ouvrant la voie à la révision de l'arrêt ATA/1173/2022 au sens de l'art. 40 al. 1 OTEO. Par conséquent, la demande de révision, mal fondée, doit être rejetée.</w:t>
      </w:r>
    </w:p>
    <w:p>
      <w:r>
        <w:rPr>
          <w:b/>
        </w:rPr>
        <w:t>E. 7</w:t>
      </w:r>
    </w:p>
    <w:p>
      <w:r>
        <w:t>Vu l'issue du litige, l'émolument fixé à CHF 500.- sera mis à la charge du demandeur qui succombe (art. 87 al. 1 LPA et 31 al. 2 LTEO par analogie).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