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A/1799/2005 vom 7. September 2005</w:t>
      </w:r>
    </w:p>
    <w:p>
      <w:r>
        <w:t>GE Cour de justice, 2005-09-07, FR</w:t>
      </w:r>
    </w:p>
    <w:p>
      <w:r>
        <w:rPr>
          <w:b/>
        </w:rPr>
        <w:t xml:space="preserve">Quelle: </w:t>
      </w:r>
      <w:r>
        <w:t>https://mcp.opencaselaw.ch/entscheid/ge_gerichte_A_1799_2005</w:t>
      </w:r>
    </w:p>
    <w:p>
      <w:r>
        <w:t>FR: GE_GERICHTE A/1799/2005 du 7 septembre 2005</w:t>
      </w:r>
    </w:p>
    <w:p>
      <w:r>
        <w:t>IT: GE_GERICHTE A/1799/2005 del 7 settembre 2005</w:t>
      </w:r>
    </w:p>
    <w:p>
      <w:pPr>
        <w:pStyle w:val="Heading2"/>
      </w:pPr>
      <w:r>
        <w:t>Volltext</w:t>
      </w:r>
    </w:p>
    <w:p>
      <w:r>
        <w:t>Genève Cour de justice (Cour de droit public) Chambre des assurances sociales 07.09.2005 A/1799/2005</w:t>
      </w:r>
    </w:p>
    <w:p>
      <w:r>
        <w:t>A/1799/2005 ATAS/716/2005 du 07.09.2005 ( AVS ) , ACCORD RÉPUBLIQUE ET CANTON DE GENÈVE POUVOIR JUDICIAIRE A/1799/2005 ATAS/716/2005 ARRET DU TRIBUNAL CANTONAL DES ASSURANCES SOCIALES Chambre 4 du 7 septembre 2005 En la cause COMPAGNIE JENNY VAN KLAK, soit pour elle son Président. M. Geoffrey D__________, Barre 14, 1005 LAUSANNE recourant contre CAISSE CANTONALE GENEVOISE DE COMPENSATION, route de Chêne 54, 1208 GENEVE intimée Vu le recours ; Vu l’audience de ce jour ; Vu l’accord intervenu entre les parties ; PAR CES MOTIFS, LE TRIBUNAL CANTONAL DES ASSURANCES SOCIALES Statuant d’accord entre les parties (conformément à l’art. 56 W LOJ) Donne acte à la Caisse cantonale genevoise de compensation de ce qu’elle renonce à réclamer des intérêts moratoires et qu’elle annule ses décisions du 26 janvier 2005 ainsi que sa décision sur opposition du 26 janvier 2005, mettant ainsi fin au litige. L’y condamne en tant que de besoin. Donne acte à Monsieur D__________ de ce qu’il accepte, en sa qualité d’ancien président de l’association, dissoute, de recevoir notification du présent arrêt.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