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A/1776/2016 vom 30. Juni 2016</w:t>
      </w:r>
    </w:p>
    <w:p>
      <w:r>
        <w:t>GE Cour de justice, 2016-06-30, FR</w:t>
      </w:r>
    </w:p>
    <w:p>
      <w:r>
        <w:rPr>
          <w:b/>
        </w:rPr>
        <w:t xml:space="preserve">Quelle: </w:t>
      </w:r>
      <w:r>
        <w:t>https://mcp.opencaselaw.ch/entscheid/ge_gerichte_A_1776_2016</w:t>
      </w:r>
    </w:p>
    <w:p>
      <w:r>
        <w:t>FR: GE_GERICHTE A/1776/2016 du 30 juin 2016</w:t>
      </w:r>
    </w:p>
    <w:p>
      <w:r>
        <w:t>IT: GE_GERICHTE A/1776/2016 del 30 giugno 2016</w:t>
      </w:r>
    </w:p>
    <w:p>
      <w:pPr>
        <w:pStyle w:val="Heading2"/>
      </w:pPr>
      <w:r>
        <w:t>Erwägungen</w:t>
      </w:r>
    </w:p>
    <w:p>
      <w:r>
        <w:rPr>
          <w:b/>
        </w:rPr>
        <w:t>E. 3</w:t>
      </w:r>
    </w:p>
    <w:p>
      <w:r>
        <w:t>ème Chambre En la cause Madame A______, domiciliée à CAROUGE recourante contre SERVICE DES PRESTATIONS COMPLEMENTAIRES, route de Chêne 54, GENÈVE intimé EN FAIT 1.        Par décisions du 25 novembre 2015, le Service des prestations complémentaires (SPC) a statué sur le droit aux prestations complémentaires et aux subsides d’assurance maladie de Madame A______ (ci-après : la bénéficiaire) et lui a réclamé la restitution de la somme de CHF 54'774.- (CHF 37'575.- de prestations complémentaires + CHF 17'199.- de subsides), correspondant à des prestations allouées à tort pour la période du 1 er juillet 2011 au 31 juillet 2014.![endif]&gt;![if&gt; 2.        Le 30 novembre 2015, l’assurée s’est opposée à cette décision.![endif]&gt;![if&gt; 3.        Par décision du 22 mars 2016, le SPC a confirmé celles du 25 novembre 2015 en précisant à l’intéressée qu’elle pourrait par la suite formuler une demande de remise de l’obligation de restituer.![endif]&gt;![if&gt; Cette décision a été notifiée à l’intéressée par pli recommandé retiré au guichet le 29 mars 2016. 4.        Par écriture du 28 mai 2016, la bénéficiaire a interjeté recours auprès de la Cour de céans. ![endif]&gt;![if&gt; La recourante, admettant d’emblée « ne plus être dans les temps », a demandé à ce que lui soit accordée « une faveur à une remise à condition ». Elle allègue en substance ne pas savoir comment rembourser la somme qui lui est réclamée. 5.        Invitée à s’expliquer sur les raisons de son retard, la recourante s’en est excusée et a expliqué que depuis 2014, après le décès de son époux, son état physique et psychologique s’est considérablement détérioré, au point qu’une simple tâche quotidienne l’épuise.![endif]&gt;![if&gt;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entrée en vigueur le 1 er janvier 2003, est applicable au cas d'espèce.![endif]&gt;![if&gt; 3.        L'art. 61 LPGA prévoit que la procédure devant la chambre des assurances sociales est réglée par le droit cantonal, sous réserve que celui-ci respecte les exigences minimales requises par la LPGA. ![endif]&gt;![if&gt; Les décisions sur opposition sont sujettes à recours dans les 30 jours suivant la notification de la décision sujette à recours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7 e jour avant Pâques au 7 e jour après Pâques inclusivement (art. 38 al. 4 LPGA et art. 89C LPA).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le délai a commencé à courir le 4 avril 2016, soit le 8 ème jour après Pâques, pour venir à échéance le 3 mai. Le recours interjeté le 28 mai 2016 est donc tardif, ce qui n’est d’ailleurs pas contesté par la recourante. 4.        Reste à examiner si une restitution de délai peut être accordée. ![endif]&gt;![if&gt; Tel peut être le cas, de manière exceptionnelle, à condition que le requérant ait été empêché, sans sa faute, d’agir dans le délai fixé.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En effet, elle ne soutient pas être privée de la capacité de discernement. Si elle ne trouvait pas l’énergie de s’occuper de ses affaires courantes, il lui appartenait pour le moins de désigner un tiers pour s’en charger. En l'absence de motif valable de restitution de délai, le recours doit être déclaré irrecevable pour cause de tardiveté. On relèvera que, quoi qu’il en soit, la recourante ne conteste pas que les prestations dont la restitution lui est réclamée ont été versées à tort mais invoque son impossibilité à rembourser. Ce faisant, elle fait en réalité valoir des motifs de remise de l’obligation de restituer, demande qui ne pourra être examinée par le SPC qu’une fois la décision de restitution entrée en force.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