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A/1769/2009 vom 3. September 2009</w:t>
      </w:r>
    </w:p>
    <w:p>
      <w:r>
        <w:t>GE Cour de justice, 2009-09-03, FR</w:t>
      </w:r>
    </w:p>
    <w:p>
      <w:r>
        <w:rPr>
          <w:b/>
        </w:rPr>
        <w:t xml:space="preserve">Quelle: </w:t>
      </w:r>
      <w:r>
        <w:t>https://mcp.opencaselaw.ch/entscheid/ge_gerichte_A_1769_2009</w:t>
      </w:r>
    </w:p>
    <w:p>
      <w:r>
        <w:t>FR: GE_GERICHTE A/1769/2009 du 3 septembre 2009</w:t>
      </w:r>
    </w:p>
    <w:p>
      <w:r>
        <w:t>IT: GE_GERICHTE A/1769/2009 del 3 settembre 2009</w:t>
      </w:r>
    </w:p>
    <w:p>
      <w:pPr>
        <w:pStyle w:val="Heading2"/>
      </w:pPr>
      <w:r>
        <w:t>Regeste</w:t>
      </w:r>
    </w:p>
    <w:p>
      <w:r>
        <w:t>Vente aux enchères; Bordereau définitif de vente; Impôt fédéral direct. | Plainte contre l'état des charges par l'acquéreur d'un immeuble vendu aux enchères que l'IFD n'a pas à être inclus puisque prélevé sur le bénéfice et le capital. Plainte rejetée. Recours au Tribunal fédéral rejeté par arrêt | LP.209; LP.262; LCEE.2; LFID.58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 Commentaire, ad art. 136 n° 10). En l’occurrence, les conditions de vente prévoyaient tant l’hypothèse d’un paiement intégral avant l’adjudication que la possibilité d’une adjudication subordonnée au versement préalable de 1'300'000 fr., à titre d’acompte sur le prix d’adjudication (ch. 10b) et au paiement du solde dans un délai de deux mois échéant le 24 juin 2008. Ces conditions prévoyaient aussi que, dans ce dernier cas, l’adjudicataire devrait des intérêts à 5% jusqu’au jour du paiement. 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177'632 fr. ne serait pas prioritaire par rapport aux créanciers hypothécaires dont elle fait partie. A titre préalable, il convient de relever que la plaignante commet une confusion alors qu'elle indique qu'il s'agit d'un impôt sur le bénéfice immobilier, qui est inexistant au niveau fédéral. En l'occurrence, étant dans le cadre d'une société anonyme en faillite, ayant comme seul actif un immeuble comptabilisé visiblement à un montant inférieur à sa valeur réelle, il n'apparaît pas insoutenable qu'il soit soumis à un impôt sur le bénéfice au sens de l'art. 58 al. 1 let c LFIFD. Néanmoins, tant au niveau du principe que du calcul de cet impôt, il n'est pas de la compétence de la Commission de céans de se déterminer sur son exactitude. 3.b. Selon l'art. 262 al. 1 LP, " les frais d'ouverture de la faillite, de liquidation et de prise d'inventaire sont couverts en premier lieu" . Sont inclus dans les frais de procédure de faillite les frais d'ouverture de faillite, les frais de prise d'inventaire, et les frais de liquidation de la faillite, tel par exemple les frais de procès. Parmi les dettes de masse, sont inclues sont également inclues les dettes de droit public, généralement d'impôt, qui peuvent tirer leur origine tant du droit cantonal que fédéral. Leur qualification de dette de masse dépend de la question de savoir si le fait leur ayant donné naissance est survenu avant ou après le prononcé de la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 En l'espèce, il n'est pas contesté par la plaignante que l'impôt dû sur la base de l'IFD est né par l'adjudication (ATF 120 III 128 , JdT 1997 II 59) et est donc une dette de masse, à la charge de la plaignante. Cela étant, si la plaignante entend contester le montant proprement dit de l'impôt, il incombe à l'Office de réclamer une décision formelle de taxation auprès de l'Administration fiscale cantonale, service des personnes morales, afin que soient ouverte les voies de droit.</w:t>
      </w:r>
    </w:p>
    <w:p>
      <w:r>
        <w:rPr>
          <w:b/>
        </w:rPr>
        <w:t>E. 4</w:t>
      </w:r>
    </w:p>
    <w:p>
      <w:r>
        <w:t>La plaignante critique le taux d'intérêt appliqué aux fonds placés auprès de la Caisse de consignation de l'Etat de Genève, soit 0.25 % ainsi que le total des intérêts calculés par celle-ci. Les cantons doivent désigner des caisses de dépôts et consignation (art. 24 LP) o`les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le débiteur et par des tiers débiteurs, ainsi que les dividendes ou autres produits ne pouvant pas être distribués (CR-LP, ad art 9, ch. 1, Pierre-Robert Gilliéron , Commentaire ad art. 9, n° 7 à 12). Les autorités de poursuites ont ainsi une obligation de placer les fonds ne pouvant être immédiatement distribués, de manière à produire des intérêts (ATF 105 III 90 , JdT 1981 II 19). A Genève, la caisse de consignation de l'Etat est la seule habilitée pour recevoir les consignations autorisées ou ordonnées par les lois, les jugements ou les décisions d'autorités administratives (art. 1 LCCE). Toute somme déposée produit des intérêts à partir du 61 ème jour (art. 2 LCCE), au taux de 0.25% (art. 1 RTICC-2008). C'est donc à bon droit que l'Office a consigné les loyers encaissés. Par contre, s'agissant d'un problème de fond, il n'appartient pas à la Commission de céans de vérifier le calcul opéré par la Caisse de consignation au niveau du montant d'intérêt à partager. Ce grief sera donc rejeté. 5.a. La plaignante estime que les créanciers hypothécaires n'ont pas à bénéficier d'intérêts sur le prix de vente. 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15 mai 2009. Le montant total du produit de réalisation s'élève à 7'559'636 fr. 83, celui des hypothèques et des intérêts échus s'élevant à 11'790'479 fr. (1'464'000 fr. + 443'011 fr. + 2'915468 fr. + 6'968'000 fr.). La Commission de céans ne partage ainsi pas la position de l'Office lorsque celui-ci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 Si cette distribution d'intérêts est juste dans son principe telle qu'effectuée dans la décision querellée, les explications données à son sujet par l'Office dans son rapport du 21 juillet 2009 ne sont par contre pas correctes. La Commission de céans a déjà décidé par le passé que les intérêts issus de la consignation devaient être répartis entre les créanciers hypothécaires, soit en l'espèce la Fondation de valorisation et la plaignante (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 S'agissant de l'impôt immobilier réclamé par l'Administration fiscale pour les années 1998 à 2007, la Commission de céans considère que son droit à un intérêt, contesté par la plaignante, est identique que celui des créanciers hypothécaires, s'agissant d'une dette privilégiées, soumise à intérêts (art. 364 LCP) dans l'hypothèse non réalisée en l'espèce de l'art. 209 al. 2 LP. C'est donc à bon droit que l'Office a calculé un intérêt de 559 fr. 50 en sa faveur. Ce dernier grief sera dès lors également rejeté. * * * * * PAR CES MOTIFS, LA COMMISSION DE SURVEILLANCE SIÉGEANT EN SECTION : A la forme : Déclare recevable la plainte formée le 20 mai 2009 par Z______ SA contre le bordereau de vente immobilière définitif de l'immeuble sis chemin M______ 2F à V______ dans le cadre de la faillite n° 2001 000xxx K. Au fond : 1. La rejette. 2. Déboute les parties de toutes autres conclusions.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