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A/1768/2015 vom 9. Juni 2015</w:t>
      </w:r>
    </w:p>
    <w:p>
      <w:r>
        <w:t>GE Cour de justice, 2015-06-09, FR</w:t>
      </w:r>
    </w:p>
    <w:p>
      <w:r>
        <w:rPr>
          <w:b/>
        </w:rPr>
        <w:t xml:space="preserve">Quelle: </w:t>
      </w:r>
      <w:r>
        <w:t>https://mcp.opencaselaw.ch/entscheid/ge_gerichte_A_1768_2015</w:t>
      </w:r>
    </w:p>
    <w:p>
      <w:r>
        <w:t>FR: GE_GERICHTE A/1768/2015 du 9 juin 2015</w:t>
      </w:r>
    </w:p>
    <w:p>
      <w:r>
        <w:t>IT: GE_GERICHTE A/1768/2015 del 9 giugno 2015</w:t>
      </w:r>
    </w:p>
    <w:p>
      <w:pPr>
        <w:pStyle w:val="Heading2"/>
      </w:pPr>
      <w:r>
        <w:t>Volltext</w:t>
      </w:r>
    </w:p>
    <w:p>
      <w:r>
        <w:t>Genève Cour de justice (Cour de droit public) Chambre administrative 09.06.2015 A/1768/2015</w:t>
      </w:r>
    </w:p>
    <w:p>
      <w:r>
        <w:t>A/1768/2015 ATA/588/2015 du 09.06.2015 ( FPUBL ) , IRRECEVABLE En fait En droit RÉPUBLIQUE ET CANTON DE GENÈVE POUVOIR JUDICIAIRE A/1768/2015 - FPUBL ATA/588/2015 COUR DE JUSTICE Chambre administrative Arrêt du 9 juin 2015 dans la cause Monsieur A______ contre SECRÉTARIAT GÉNÉRAL DU POUVOIR JUDICIAIRE EN FAIT 1) Le 26 mai 2015, Monsieur A______ a formé un recours auprès de la chambre administrative de la Cour de justice (ci-après : la chambre administrative), contre le certificat de travail établi le 21 mai 2015 par la direction des ressources humaines du Pouvoir judiciaire, demandant à ce que ce dernier soit complété, voir modifié, sur certains éléments.![endif]&gt;![if&gt; 2) Le recours a été transmis, pour information, au secrétariat général du Pouvoir judiciaire.![endif]&gt;![if&gt; EN DROIT 1) La compétence des autorités est déterminée par la loi et ne peut être créée par accord entre les parties (art. 11 al. 1 de la loi sur la procédure administrative du 12 septembre 1985 - LPA - E 5 10). La chambre administrative examine d’office sa compétence (art. 1 al. 2, art. 6 al. 1 let. b et art. 11 al. 2 LPA).![endif]&gt;![if&gt; 2) Selon l’art. 132 al. 1 et al. 2 loi sur l’organisation judiciaire du 26 septembre 2010 (LOJ - E 2 05), la chambre administrative est l’autorité supérieure ordinaire de recours en matière administrative, sous réserve des compétences de la chambre constitutionnelle et de la chambre des assurances sociales ainsi que des exceptions prévues par la loi.![endif]&gt;![if&gt; L’art. 138 let. b LOJ attribue à la Cour d’appel du pouvoir judiciaire (ci-après : CAPJ) la compétence de connaître des recours dirigés contre les décisions de la commission de gestion et du secrétaire général du Pouvoir judiciaire en tant qu’elles touchent aux droits et obligations des membres du personnel du Pouvoir judiciaire. 3) L’art. 31A de la loi générale relative au personnel de l’administration cantonale, du Pouvoir judiciaire et des établissements publics médicaux du 4 décembre 1997 (LPAC - B 5 05) dispose que tout membre du personnel peut recourir contre les décisions relatives à un certificat de travail le concernant.![endif]&gt;![if&gt; 4) Si, en tant que tel, un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l’employé.![endif]&gt;![if&gt; Dans le système ainsi instauré,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voies et délai de recours notamment) et que, en revanche, la détermination de l’autorité rejetant la demande de modification formée par l’employé doit respecter les exigences de forme et de procédure imposées par la loi : respect du droit d’être entendu, notification, etc. ( ATA/271/2015 du 17 mars 2015 ; ATA/398/2005 du 31 mai 2005 ; ATA/222/2005 du 19 avril 2005). 5) Au vu de ce qui précède, le recours sera déclaré irrecevable sans autre acte d'instruction (art. 72 LPA) et transmis, en tant que demande de modification du certificat de travail délivré, au secrétariat général du Pouvoir judiciaire, compétent en vertu de l’art. 48 let. a LOJ. Il est précisé que la voie de recours sera alors à la CAPJ.![endif]&gt;![if&gt; 6) Aucun émolument ne sera perçu et il ne sera pas alloué d’indemnité de procédure au recourant (art. 87 al. 1 et 2 LPA).![endif]&gt;![if&gt; * * * * * PAR CES MOTIFS LA CHAMBRE ADMINISTRATIVE déclare irrecevable le recours interjeté le 26 mai 2015 par Monsieur A______ contre le certificat de travail établi le 21 mai 2015 par la direction des ressources humaines du Pouvoir judiciaire ; transmet la cause au secrétariat général du Pouvoir judiciaire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secrétariat général du Pouvoir judiciaire. Siégeants : M. Verniory, président, MM. Thélin et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