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A/1753/2023 vom 11. Dezember 2023</w:t>
      </w:r>
    </w:p>
    <w:p>
      <w:r>
        <w:t>GE Cour de justice, 2023-12-11, FR</w:t>
      </w:r>
    </w:p>
    <w:p>
      <w:r>
        <w:rPr>
          <w:b/>
        </w:rPr>
        <w:t xml:space="preserve">Quelle: </w:t>
      </w:r>
      <w:r>
        <w:t>https://mcp.opencaselaw.ch/entscheid/ge_gerichte_A_1753_2023</w:t>
      </w:r>
    </w:p>
    <w:p>
      <w:r>
        <w:t>FR: GE_GERICHTE A/1753/2023 du 11 décembre 2023</w:t>
      </w:r>
    </w:p>
    <w:p>
      <w:r>
        <w:t>IT: GE_GERICHTE A/1753/2023 del 11 dicembre 2023</w:t>
      </w:r>
    </w:p>
    <w:p>
      <w:pPr>
        <w:pStyle w:val="Heading2"/>
      </w:pPr>
      <w:r>
        <w:t>Erwägungen</w:t>
      </w:r>
    </w:p>
    <w:p>
      <w:r>
        <w:rPr>
          <w:b/>
        </w:rPr>
        <w:t>E. 1</w:t>
      </w:r>
    </w:p>
    <w:p>
      <w:r>
        <w:t>![endif]&gt;![if&gt;</w:t>
      </w:r>
    </w:p>
    <w:p>
      <w:r>
        <w:rPr>
          <w:b/>
        </w:rPr>
        <w:t>E. 1.1</w:t>
      </w:r>
    </w:p>
    <w:p>
      <w:r>
        <w:t>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w:t>
      </w:r>
    </w:p>
    <w:p>
      <w:r>
        <w:rPr>
          <w:b/>
        </w:rPr>
        <w:t>E. 1.2</w:t>
      </w:r>
    </w:p>
    <w:p>
      <w:r>
        <w:t>Sa compétence pour juger du cas d’espèce est ainsi établie.![endif]&gt;![if&gt;</w:t>
      </w:r>
    </w:p>
    <w:p>
      <w:r>
        <w:rPr>
          <w:b/>
        </w:rPr>
        <w:t>E. 1.3</w:t>
      </w:r>
    </w:p>
    <w:p>
      <w:r>
        <w:t>Interjeté en temps utile, le recours est recevable (art. 60 LPGA).![endif]&gt;![if&gt;</w:t>
      </w:r>
    </w:p>
    <w:p>
      <w:r>
        <w:rPr>
          <w:b/>
        </w:rPr>
        <w:t>E. 2</w:t>
      </w:r>
    </w:p>
    <w:p>
      <w:r>
        <w:t>Le litige porte sur la suspension du droit à l’indemnité de la recourante de 26 jours, pour chômage imputable à une faute.![endif]&gt;![if&gt;</w:t>
      </w:r>
    </w:p>
    <w:p>
      <w:r>
        <w:rPr>
          <w:b/>
        </w:rPr>
        <w:t>E. 3</w:t>
      </w:r>
    </w:p>
    <w:p>
      <w:r>
        <w:t>![endif]&gt;![if&gt;</w:t>
      </w:r>
    </w:p>
    <w:p>
      <w:r>
        <w:rPr>
          <w:b/>
        </w:rPr>
        <w:t>E. 3.1</w:t>
      </w:r>
    </w:p>
    <w:p>
      <w:r>
        <w:t>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[OACI - RS 837.02]). La résiliation d’un contrat de travail procurant un revenu pris en considération à titre de gain intermédiaire constitue un chômage fautif si le salaire répondait aux exigences d’admissibilité de l’art. 24 al. 3 LACI (DTA 1998 p. 41 ; Boris RUBIN, Commentaire de la loi sur l’assurance-chômage 2014, p. 309, n° 32). ![endif]&gt;![if&gt;</w:t>
      </w:r>
    </w:p>
    <w:p>
      <w:r>
        <w:rPr>
          <w:b/>
        </w:rPr>
        <w:t>E. 3.2</w:t>
      </w:r>
    </w:p>
    <w:p>
      <w:r>
        <w:t>Pour qu’un assuré puisse être sanctionné en vertu de l’art. 44 al. 1 let. b OACI, trois conditions doivent être réunies. Il faut premièrement que l’assuré ait donné lui-même son congé. Il importe ensuite qu’au moment de résilier son contrat de travail, l’assuré n’ait pas eu d’assurance préalable d’un nouvel emploi. Enfin, il faut qu’aucune circonstance ne se soit opposée à la poursuite des rapports de travail (critère de l’exigibilité). ![endif]&gt;![if&gt;</w:t>
      </w:r>
    </w:p>
    <w:p>
      <w:r>
        <w:rPr>
          <w:b/>
        </w:rPr>
        <w:t>E. 3.3</w:t>
      </w:r>
    </w:p>
    <w:p>
      <w:r>
        <w:t>Selon la jurisprudence, l'exigibilité de la continuation des rapports de travail est examinée plus sévèrement que le caractère convenable d'un emploi au sens de l'art. 16 LACI (ATF 124 V 234 consid. 4b/bb ; arrêt 8C_1021/2012 du 10 mai 2013 consid. 2.2). Au regard du principe général de l'obligation de diminuer le dommage ancré à l'art. 17 al. 1 LACI et valable en droit des assurances sociales (ATF 134 V 109 consid. 10.2.7 ; 129 V 460 consid. 4.2 et les références), la personne assurée doit entreprendre tout ce que l'on peut raisonnablement exiger d'elle pour éviter la survenance du chômage. Un travailleur ne résiliera pas un contrat de travail existant tant que son avenir financier n'est pas assuré par un nouvel emploi, à moins que même le maintien temporaire sur le lieu de travail actuel ne soit pas raisonnablement exigible. L'exigibilité de la poursuite des rapports de travail s'apprécie toujours en fonction des circonstances concrètes. Généralement, les conditions de travail difficiles (chantiers, centre d'appels, etc.), des relations tendues avec les collègues et les supérieurs, une mauvaise atmosphère de travail ou des problèmes de santé non attestés médicalement ne suffisent pas à faire admettre que la continuation des rapports de travail n'était pas exigible (Boris RUBIN, op. cit., n° 37 ad art. 30 LACI, p. 310 ; ATF 124 V 234 consid. 4b/bb ; arrêt du Tribunal fédéral 8C_693/2022 du 14 juin 2023 consid. 4.1). ![endif]&gt;![if&gt;</w:t>
      </w:r>
    </w:p>
    <w:p>
      <w:r>
        <w:rPr>
          <w:b/>
        </w:rPr>
        <w:t>E. 3.4</w:t>
      </w:r>
    </w:p>
    <w:p>
      <w:r>
        <w:t>Le Bulletin LACI/IC D26 précise notamment qu’une résiliation du contrat de travail par l'assuré ne peut être sanctionnée que si l'on pouvait attendre de lui qu'il conservât son emploi, que le caractère convenable de l'ancien emploi doit être apprécié sur la base de critères stricts et qu’un climat de travail tendu ne suffit pas à faire qualifier un emploi de non convenable. Si l'assuré invoque des problèmes de santé, il doit les prouver par un certificat médical.![endif]&gt;![if&gt;</w:t>
      </w:r>
    </w:p>
    <w:p>
      <w:r>
        <w:rPr>
          <w:b/>
        </w:rPr>
        <w:t>E. 4</w:t>
      </w:r>
    </w:p>
    <w:p>
      <w:r>
        <w:t>![endif]&gt;![if&gt;</w:t>
      </w:r>
    </w:p>
    <w:p>
      <w:r>
        <w:rPr>
          <w:b/>
        </w:rPr>
        <w:t>E. 4.1</w:t>
      </w:r>
    </w:p>
    <w:p>
      <w:r>
        <w:t>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![endif]&gt;![if&gt;</w:t>
      </w:r>
    </w:p>
    <w:p>
      <w:r>
        <w:rPr>
          <w:b/>
        </w:rPr>
        <w:t>E. 4.2</w:t>
      </w:r>
    </w:p>
    <w:p>
      <w:r>
        <w:t>Selon l'art. 45 al. 4 let. a OACI, il y a faute grave lorsque, sans motif valable, l'assuré abandonne un emploi réputé convenable sans être assuré d'obtenir un nouvel emploi.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3.5). Si des circonstances particulières le justifient, il est donc possible, exceptionnellement, de fixer un nombre de jours de suspension inférieur à trente et un jours. Toutefois, les motifs de s'écarter de la faute grave doivent être admis restrictivement (Boris RUBIN, op. cit., n° 117 ad art. 30 LACI et les références ; arrêt du Tribunal fédéral 8C_693/2022 du 14 juin 2023 consid. 5.1). ![endif]&gt;![if&gt;</w:t>
      </w:r>
    </w:p>
    <w:p>
      <w:r>
        <w:rPr>
          <w:b/>
        </w:rPr>
        <w:t>E. 4.3</w:t>
      </w:r>
    </w:p>
    <w:p>
      <w:r>
        <w:t>En tant qu'autorité de surveillance, le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et de fixer la sanction en fonction de la faute (arrêt du Tribunal fédéral 8C_425/2014 du 12 août 2014, consid. 5.1). ![endif]&gt;![if&gt; Selon le Bulletin LACI/IC D77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 Ce principe doit également s’appliquer en cas de faute légère et moyenne (art. 45 al. 3 let. a et b OACI). Et aux termes du Bulletin LACI/IC D78 les facteurs pris en compte pour la détermination du degré de la faute dans la présente échelle ne sont pas exhaustifs. Ils peuvent se combiner avec d’autres facteurs aggravants ou atténuants.</w:t>
      </w:r>
    </w:p>
    <w:p>
      <w:r>
        <w:rPr>
          <w:b/>
        </w:rPr>
        <w:t>E. 4.4</w:t>
      </w:r>
    </w:p>
    <w:p>
      <w:r>
        <w:t>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Bundes-verwaltungsrecht [SBVR], Soziale Sicherheit , 2 ème éd. 2007, n. 855 p. 2435).![endif]&gt;![if&gt;</w:t>
      </w:r>
    </w:p>
    <w:p>
      <w:r>
        <w:rPr>
          <w:b/>
        </w:rPr>
        <w:t>E. 4.5</w:t>
      </w:r>
    </w:p>
    <w:p>
      <w:r>
        <w:t>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 Ermessensüberschreitung ») ou négatif (« Ermessensunterschreitung ») de son pouvoir d'appréciation ou abuser (« Ermessensmissbrauch ») de celui-ci (ATF non publié 8C_658/2009 du 19 janvier 2010, consid. 1.2 ; ATF non publié 8C_31/2007 du 25 septembre 2007, consid. 3.1, non publié in ATF 133 V 640 mais dans SVR 2008 ALV n° 12 p. 35). ![endif]&gt;![if&gt;</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![endif]&gt;![if&gt;</w:t>
      </w:r>
    </w:p>
    <w:p>
      <w:r>
        <w:rPr>
          <w:b/>
        </w:rPr>
        <w:t>E. 6</w:t>
      </w:r>
    </w:p>
    <w:p>
      <w:r>
        <w:t>En l’occurrence, l’intimée a considéré que la recourante aurait fautivement résilié son contrat de travail, ce qui constituait en principe une faute grave. Cependant, en tenant compte des circonstances particulières du cas, soit les conditions de travail de la recourante, son état de santé et les attestations de Madame E______, la faute était qualifiée de moyenne, ce qui justifiait une suspension du droit à l’indemnité de 26 jours.![endif]&gt;![if&gt; La recourante conteste principalement toute sanction, subsidiairement elle en demande la réduction ; elle fait valoir qu’elle a quitté son emploi pour préserver sa santé, voire sa vie.</w:t>
      </w:r>
    </w:p>
    <w:p>
      <w:r>
        <w:rPr>
          <w:b/>
        </w:rPr>
        <w:t>E. 6.1</w:t>
      </w:r>
    </w:p>
    <w:p>
      <w:r>
        <w:t>La qualification de la résiliation du contrat de travail par la recourante comme faute moyenne par l’intimée n’est pas critiquable.![endif]&gt;![if&gt; En effet, s’il est établi, et d’ailleurs admis par l’intimée, que la recourante s’est retrouvée dans une situation professionnelle difficile en 2022, ayant entrainé des conséquences sur son état de santé, en particulier une incapacité de travail totale du 17 au 24 mars, puis du 8 au 22 avril 2022, ainsi qu’un état psychique fragilisé, il n’est pas établi, selon les pièces médicales au dossier, que la continuation des rapports de travail n’était plus exigible. En effet, la Dre D______ a précisé, le 5 octobre 2023, que la recourante - qu’elle avait reçue les 7 avril, 15 juin et 26 août 2022 - avait présenté de possibles symptômes en lien avec un burnout, mais que le 6 mai 2022 elle avait annulé le rendez-vous médical prévu le 9 mai 2022, en déclarant que sa situation s’était améliorée ; la médecin a indiqué qu’elle ne pouvait se prononcer sur la question de savoir si la poursuite des rapports de travail aurait péjoré l’état de santé de la recourante. Il est à constater que cette médecin s’est notamment entretenue avec la recourante le 15 juin 2022, soit quelques jours seulement avant la résiliation par la recourante de son contrat de travail, mais n’a pas pu attester de la situation d’urgence invoquée par la recourante au sujet de sa santé. Quant à Madame E______, elle n’a débuté un suivi avec la recourante que postérieurement à la résiliation du contrat de travail par celle-ci, de sorte que ses observations sont moins déterminantes. Néanmoins, elle a attesté d’un état d’épuisement et de surmenage au travail de la recourante et estimé que la continuation des rapports de travail aurait péjoré la situation, avec un risque d’aggravation du surmenage, pouvant mener à un burnout (avis du 15 septembre 2022 de Madame E______). Cet avis a été pris en compte par l’intimée, laquelle a estimé que la faute de la recourante ne pouvait être qualifiée de grave, mais seulement de moyenne, compte tenu des circonstances précitées. Le surmenage, attesté uniquement par Madame E______, postérieurement aux faits déterminants, ne saurait, à lui seul, aboutir à une exonération de toute faute, dès lors que la recourante a été à même de poursuivre l’exercice de son activité jusqu’au terme du délai de résiliation, même si cela s’est fait au prix, comme elle le relève, d’efforts importants.</w:t>
      </w:r>
    </w:p>
    <w:p>
      <w:r>
        <w:rPr>
          <w:b/>
        </w:rPr>
        <w:t>E. 6.2</w:t>
      </w:r>
    </w:p>
    <w:p>
      <w:r>
        <w:t>Par ailleurs, le collègue de travail de la recourante l’ayant harcelée a été finalement licencié, de sorte qu’il n’était plus en emploi au jour où la recourante a résilié son contrat de travail. Si ce harcèlement a contribué à déstabiliser la recourante, il ne peut être la cause du motif de résiliation des rapports de travail le 23 juin 2022.![endif]&gt;![if&gt; Quant aux autres circonstances évoquées par la recourante, soit l’augmentation des exigences de la part de son employeuse, un projet informatique important à réaliser, avec en parallèle la réduction des effectifs de son équipe, ainsi que la demande d’être à deux reprises à disposition de l’employeuse pendant ses congés, elles ne sauraient être assimilées à des conditions qualifiant l’emploi de non convenable (procès-verbal de l’audience de comparution personnelle du 18 septembre 2023).</w:t>
      </w:r>
    </w:p>
    <w:p>
      <w:r>
        <w:rPr>
          <w:b/>
        </w:rPr>
        <w:t>E. 6.3</w:t>
      </w:r>
    </w:p>
    <w:p>
      <w:r>
        <w:t>Le fait que la recourante ne voyait pas d’autre option que de démissionner (procès-verbal de l’audience de comparution personnelle du 18 septembre 2023) démontre, comme l’a relevé Madame E______, que son état de santé était grandement fragilisé. Cependant, faute d’un certificat médical attestant d’un diagnostic clair et d’une incapacité totale de la recourante à poursuivre son activité auprès de l’employeuse, cette situation de santé ne peut constituer un motif d’exonération de toute faute. Ce d’autant que quelques semaines avant la résiliation de son contrat de travail (le 23 juin 2022), la recourante a annulé son rendez-vous avec la Dre D______ (prévu le 9 mai 2023), au motif que son état de santé s’améliorait.![endif]&gt;![if&gt;</w:t>
      </w:r>
    </w:p>
    <w:p>
      <w:r>
        <w:rPr>
          <w:b/>
        </w:rPr>
        <w:t>E. 7</w:t>
      </w:r>
    </w:p>
    <w:p>
      <w:r>
        <w:t>Au demeurant, il convient de confirmer la réalisation d’une faute moyenne.![endif]&gt;![if&gt;</w:t>
      </w:r>
    </w:p>
    <w:p>
      <w:r>
        <w:rPr>
          <w:b/>
        </w:rPr>
        <w:t>E. 7.1</w:t>
      </w:r>
    </w:p>
    <w:p>
      <w:r>
        <w:t>S’agissant de la quotité de la sanction, l’intimée est partie du milieu de la fourchette de 16 à 30 jours, soit 23 jours, puis a effectué une majoration de 3 jours (procès-verbal de l’audience de comparution personnelle du 18 septembre 2023). Or, cette majoration, compte tenu des circonstances du cas précitées, n’est pas justifiée.![endif]&gt;![if&gt;</w:t>
      </w:r>
    </w:p>
    <w:p>
      <w:r>
        <w:rPr>
          <w:b/>
        </w:rPr>
        <w:t>E. 7.2</w:t>
      </w:r>
    </w:p>
    <w:p>
      <w:r>
        <w:t>En conséquence, il convient de réduire la sanction de 26 à 23 jours de suspension du droit à l’indemnité de la recourante.![endif]&gt;![if&gt; Partant, le recours sera partiellement admis, la décision litigieuse réformée, la suspension étant réduite à 23 jours. La recourante obtenant partiellement gain de cause, une indemnité de CHF 1'000.- lui sera accordée à titre de participation à ses frais et dépens (art. 61 let. g LPGA ; art. 6 du règlement sur les frais, émolument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