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A/1753/2021 vom 8. April 2022</w:t>
      </w:r>
    </w:p>
    <w:p>
      <w:r>
        <w:t>GE Cour de justice, 2022-04-08, FR</w:t>
      </w:r>
    </w:p>
    <w:p>
      <w:r>
        <w:rPr>
          <w:b/>
        </w:rPr>
        <w:t xml:space="preserve">Quelle: </w:t>
      </w:r>
      <w:r>
        <w:t>https://mcp.opencaselaw.ch/entscheid/ge_gerichte_A_1753_2021</w:t>
      </w:r>
    </w:p>
    <w:p>
      <w:r>
        <w:t>FR: GE_GERICHTE A/1753/2021 du 8 avril 2022</w:t>
      </w:r>
    </w:p>
    <w:p>
      <w:r>
        <w:t>IT: GE_GERICHTE A/1753/2021 del 8 aprile 2022</w:t>
      </w:r>
    </w:p>
    <w:p>
      <w:pPr>
        <w:pStyle w:val="Heading2"/>
      </w:pPr>
      <w:r>
        <w:t>Erwägungen</w:t>
      </w:r>
    </w:p>
    <w:p>
      <w:r>
        <w:rPr>
          <w:b/>
        </w:rPr>
        <w:t>E. 4</w:t>
      </w:r>
    </w:p>
    <w:p>
      <w:r>
        <w:t>octobre 2017, qu'ils avaient retrouvé un dossier contenant ces formulaires. c. Ayant été informée de ce qu'une seule unité fonctionnelle (la salle d'OP3) était enregistrée auprès de la commission paritaire pour la valeur intrinsèque et les unités fonctionnelles (ci-après la PaKoDig), la Clinique s'en est inquiétée auprès de H+ le 9 septembre 2020. Il lui a été répondu, le même jour, que les documents d'auto-déclaration couvraient les trois salles. Le 16 septembre 2020 toutefois, il lui a été indiqué qu'elles n'étaient pas enregistrées dans la base de données des unités fonctionnelles des hôpitaux, étant précisé, d’une part, que « nous avons bien votre dossier (papier) dans nos classeurs, mais votre clinique n'a jamais été enregistrée » et, d’autre part, qu'« il est possible que vos médecins soient enregistrés dans la base de données des unités fonctionnelles de la FMH ». C. a. Par courrier du 17 septembre 2020, la Clinique a demandé à H+ de procéder sans délai à l'enregistrement de ses trois salles auprès de la PaKoDig et ceci de manière rétroactive à la date de réception des formulaires d'auto-déclaration.![endif]&gt;![if&gt; b. Le 22 septembre 2020, H+ ont reconnu que la Clinique leur avait fait parvenir une auto-déclaration en avril 2007, mais ont constaté que celle-ci ne permettait pas de savoir clairement si la Clinique était active en tant que prestataire de services au sens de la LAMal ou en tant que prestataire de services mettant l’infrastructure à disposition de médecins affiliés. H+ ont expliqué qu'en octobre 2007, deux délégués H+ de la PaKoDig avaient effectué une inspection des locaux et avaient informé les responsables de la Clinique sur la procédure et la marche à suivre pour soumettre une demande à la PaKoDig. Or, aucune demande d’inscription ou de traitement de la base de données de la PaKoDig n’avait été présentée par la suite. Aussi, la Clinique n’avait-elle pas été inscrite comme prestataire de services hospitaliers dans la banque de données des unités fonctionnelles. H+ ont supposé que les informations avaient été données aux responsables de la Clinique, au moment de l'inspection, verbalement seulement, et en ont conclu que le fait que ce n'ait pas été consigné par écrit devait être jugé rétrospectivement comme une omission de leur part, ce qu'ils regrettaient. Le 22 octobre 2020, H+ ont tenu à souligner qu'ils n'étaient pas responsables du non-suivi de la demande d’enregistrement formulée par la Clinique en 2007, considérant qu’il incombait à celle-ci de s’assurer que sa demande avait été traitée et approuvée par la PaKoDig et que les unités fonctionnelles avaient été reconnues et introduites dans la banque de données. H+ ont toutefois assuré à la Clinique qu’ils soutiendraient la demande de reconnaissance des prestations en salles d’opération que celle-ci s'apprêtait à déposer auprès de la PaKoDig, sous réserve qu’elle soit conforme aux exigences. Ils ont ajouté qu'« il appartient in fine à la commission paritaire pour la valeur intrinsèque et les unités fonctionnelles de décider de la date d’entrée en vigueur de la reconnaissance des unités fonctionnelles demandée ». c. Par courrier du 12 novembre 2020, la Clinique a sollicité de la Fédération des médecins suisses - FMH, division médecine et tarif ambulatoire, qu'il soit statué sur la demande qu'elle avait déposée en 2007 en vue de l'inscription de ses unités fonctionnelles avec effet au 1 er avril 2007. d. Par décision datée du 9 décembre 2020, la PaKoDig a admis la reconnaissance des deux unités fonctionnelles "OP II" (salles d'OP1 et salle d'OP2) conformément au concept des unités fonctionnelles Tarmed, à partir du 1 er octobre 2020. Elle a motivé sa décision comme suit : « Les indications de l'auto-déclaration correspondent à la situation sur le terrain et aux critères du concept des unités fonctionnelles, elle peut donc reconnaitre l'unité fonctionnelle "OP II". L'inscription dans la banque de données des unités fonctionnelles aura lieu le 1 er octobre 2020 ». Elle a par ailleurs ajouté, s'agissant de l'unité fonctionnelle "OPCab" (salle d'OP3), que celle-ci, en application de la décision 2011, était reconnue depuis cette date, raison pour laquelle elle n'avait pas été incluse dans la discussion, ni dans la décision. Par courriel du 14 décembre 2020, la FMH a informé la Clinique que la PaKoDig avait accepté la demande pour les deux salles d'opération 1 et 2 à partir du 1 er octobre 2020, et qu’une « décision officielle » allait lui parvenir le plus vite possible. Elle a prié la Clinique de lui transmettre des documents complémentaires « afin que la question d'une reconnaissance dès 2007 puisse être examinée ». La Clinique a transmis les documents demandés le 27 janvier 2021. e. Le 23 février 2021, la Clinique a formé opposition à la décision du</w:t>
      </w:r>
    </w:p>
    <w:p>
      <w:r>
        <w:rPr>
          <w:b/>
        </w:rPr>
        <w:t>E. 9</w:t>
      </w:r>
    </w:p>
    <w:p>
      <w:r>
        <w:t>décembre 2020, ce d'autant plus que la PaKoDig n'a aucune compétence reconnue pour se déterminer sur opposition. 7.4 En l'occurrence, une Convention-cadre TARMED a été signée le 5 juin 2002 par la FMH, d’une part, et par SANTESUISSE, d’autre part. Selon son art. 7, « 1 Les parties conviennent que le concept pour la reconnaissance des unités fonctionnelles selon TARMED et le concept « valeur intrinsèque » TARMED 9.0, tous deux adoptés par la direction du projet TARMED, servent de base pour la reconnaissance des infrastructures et des valeurs intrinsèques. 2 Tout médecin adhérant à la présente convention, qu'il soit membre ou non de la FMH, doit satisfaire aux critères de reconnaissance. Le respect de ces critères est une condition pour obtenir l'autorisation de facturation ». La Convention-cadre TARMED a été résiliée et les commissions prévues par cette convention ont été dissoutes le 23 mars 2017. Considérant toutefois que la PaKoDig et la commission paritaire d'interprétation (CPI) devaient continuer à exister, H+, FMH, CURAFUTURA, SANTESUISSE, la CTM, l'assurance-invalidité et l'assurance militaire ont conclu un accord en ce sens. Cet accord (pce 18) est entré en vigueur le 1 er janvier 2019 (art. 10). Il y est prévu que les décisions des commissions sont prises à l'unanimité, sous réserve des voies de recours prévues par les conventions et bases juridiques applicables. 7.5 Aux termes de l'art. 8 de l'annexe II de l'accord, la Commission paritaire de confiance (CPC) est l'autorité compétente pour se prononcer sur les oppositions formées aux décisions de la PaKoDig. Le chiffre 6 de l'annexe A déterminant les critères de reconnaissance de la salle d'opération en cabinet, OP I, OP II et OP III, faisant partie du concept sur la "reconnaissance des unités fonctionnelles TARMED" version 2.8 (remplaçant la version 2.7 du 13 juillet 2017) approuvés par le comité directeur TARMED Suisse et en vigueur depuis le 19 mars 2018, chiffre 6 intitulé "procédure de reconnaissance" prévoit que : « 1. Tous les prestataires de soins qui ont soussigné aux contrats –cadre TARMED conclus entre partenaires prestataires et assureurs et qui désirent facturer des prestations des unités fonctionnelles salle OP en cabinet. OP I, OP II; OP III sont invités à livrer les données concernant leurs infrastructures au moyen des formulaires d'auto-déclaration. Le droit à la facturation sera donné dès le moment que le prestataire trouve les paramètres dans la banque de données relative à la reconnaissance des infrastructures. 2. Institution responsable : - Pour les questions stratégiques TARMED Suisse - Pour les questions opérationnelles Traitement technique des demandes H+ ou FMH Décisions PaKoDIG - En cas de litiges ou sanctions CPC respective ». La CPC était prévue à l’art. 17 de la convention-cadre TARMED de 2002, avec la liste des tâches qui pouvaient lui être confiées, soit notamment l'arbitrage de litiges entre médecins et assureurs (let. c), la vérification de factures contestées de médecins (let. d), la vérification du bien-fondé de traitements médicaux par rapport aux critères d'efficacité, d'adéquation et d'économicité (annexe 6) (let. e) ou encore la prescription de sanctions à l'égard de médecins ou d'assureurs en cas de violation de la LAMal ou de ses ordonnances, de la convention-cadre SANTESUISSE-FMH, de ses annexes ou des conventions supra-cantonales, cantonales ou régionales (let. f). Une convention conclue par H+ d'une part et les assureurs d'autre part, le 19 janvier 2004 , concerne expressément la CPC (Annexe 3). Il y est indiqué que celle-ci traite les demandes de conciliation, en émettant des propositions dans un délai déterminé et que s'il s'avère qu'elle a été dans l'impossibilité de soumettre aux parties une proposition dans ce délai, le Tribunal arbitral compétent au sens de l'art. 89 LAMal peut être saisi. La CPC n'est en revanche plus mentionnée dans l'accord intervenu en 2019. Sa composition, plus particulièrement, n'est pas précisée. L'art. 10 de la Convention-cadre TARMED – énumérant les sanctions qu'elle peut prendre - et l'art. 17 n'ont pas été repris. Elle n'apparaît qu'à l'art. 8 de l'annexe II de l'accord entrée en vigueur en 2019 et au chiffre 6 al. 2 de l'annexe A du concept sur la « reconnaissance des unités fonctionnelles TARMED ». On devrait, dans ces conditions, douter de la compétence de la CPC. Il y a toutefois lieu de rappeler qu'un texte s'interprète en premier lieu selon sa lettre (interprétation littérale). Il n'y a lieu de déroger au sens littéral d'un texte clair par voie d'interprétation que lorsque des raisons objectives permettent de penser que ce texte ne restitue pas le sens véritable de la disposition en cause (arrêt du Tribunal fédéral 9C_630/2020 du 8 septembre 2021 consid. 5.1). Or, en l'occurrence, les textes de l'art. 8 de l'annexe II de l'accord et du chiffre 6 de l'annexe A sont absolument clairs et aucune autre interprétation n'est possible. Force dès lors est de s'y fier. 8. Il convient, partant, de considérer que l'autorité compétente est la CPC, à laquelle il se justifie dès lors de renvoyer la présente cause, à charge pour elle de notifier à la Clinique une décision dûment motivée et indiquant les voies de droit. Il est vrai qu'aucune CPC n'a, semble-t-il, encore été créée dans le canton de Genève (cf notamment ATAS/638/2019 ). Aussi la cause sera-t-elle renvoyée à la CPC avec pour adresse la PaKoDig. ![endif]&gt;![if&gt;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