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A/1753/2010 vom 7. September 2010</w:t>
      </w:r>
    </w:p>
    <w:p>
      <w:r>
        <w:t>GE Cour de justice, 2010-09-07, FR</w:t>
      </w:r>
    </w:p>
    <w:p>
      <w:r>
        <w:rPr>
          <w:b/>
        </w:rPr>
        <w:t xml:space="preserve">Quelle: </w:t>
      </w:r>
      <w:r>
        <w:t>https://mcp.opencaselaw.ch/entscheid/ge_gerichte_A_1753_2010</w:t>
      </w:r>
    </w:p>
    <w:p>
      <w:r>
        <w:t>FR: GE_GERICHTE A/1753/2010 du 7 septembre 2010</w:t>
      </w:r>
    </w:p>
    <w:p>
      <w:r>
        <w:t>IT: GE_GERICHTE A/1753/2010 del 7 settembre 2010</w:t>
      </w:r>
    </w:p>
    <w:p>
      <w:pPr>
        <w:pStyle w:val="Heading2"/>
      </w:pPr>
      <w:r>
        <w:t>Erwägungen</w:t>
      </w:r>
    </w:p>
    <w:p>
      <w:r>
        <w:rPr>
          <w:b/>
        </w:rPr>
        <w:t>E. 2</w:t>
      </w:r>
    </w:p>
    <w:p>
      <w:r>
        <w:t>Les faits déterminants étant survenus postérieurement au 1 er janvier 2003, la LPGA est applicable aux prestations fédérales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Étant donné que les faits déterminants se sont réalisés avant l’entrée en vigueur de ces modifications, l’ancien droit reste applicable dans sa teneur au 31 décembre 2007. De toute manière, les dispositions relatives à la problématique ici en cause n’ayant pas été modifiées, le changement de législation se révèle sans influence. En ce qui concerne la procédure et à défaut de règles transitoires contraires, le nouveau droit s'applique sans réserve dès le jour de son entrée en vigueur (ATF 117 V 93 consid. 6b; 112 V 360 consid. 4a; RAMA 1998 KV 37 p. 316 consid. 3b). Les décisions sur opposition peuvent faire l'objet d'un recours auprès du Tribunal cantonal des assurances sociales dans un délai de 30 jours (art. 56ss LPGA et art. 43 LPCC). Interjeté dans les délai et forme prescrits, le recours est dès lors recevable. Le litige porte sur la restitution de prestations à hauteur de 79'798 fr.60, le calcul du droit au prestations complémentaires pour la période du 1 er janvier 2005 au 31 mai 2009 étant contesté, s'agissant de la prise en compte de la valeur d'un immeuble sis en Italie. Le recours s'apparente également à une demande de remise. a) Au niveau fédéral, la LPC, entrée en vigueur le 1 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 a al. 1 aLPC et art. 2 c let. a aLPC). Aux termes de l'art. 3 c al. 1 let. b aLPC (11 al. 1 let. b LPC), les revenus déterminants comprennent, entre autres éléments, le produit de la fortune immobilière. L'article 3 c al. 1 let. c aLPC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3 c al. 1 let. g aLPC (art.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 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b)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Dans le cas d'espèce, il convient d'abord d'examiner le recours formé contre la décision sur opposition confirmant la décision de restitution des prestations versées du 1 er janvier 2005 au 31 mai 2009. En premier lieu, la décision de restitution du 9 décembre 2009 est conforme aux articles 25 et 53 LPGA, dès lors qu'elle intervient dans l'année où le SPC a eu connaissance de la propriété immobilière de l'assurée en Italie, annoncée fin mai 2009 pour la première fois et remonte sur cinq ans au cours desquels les prestations ont été versées, soit dès le 1 er janvier 2005, les conditions d'une révision étant par ailleurs manifestement réunies. En second lieu, l'assurée conteste lors de son opposition la valeur vénale retenue par le SPC pour l'immeuble sis en Italie (64'800 € convertis en 98'457 fr.) estimant qu'il vaut au maximum 40'000 €. A noter en préambule qu'elle a transmis l'expertise au SPC sans formuler aucune réserve, ni annoncer une contre expertise. Au demeurant, l'assurée ne fait valoir aucun élément probant qui permettrait d'écarter l'expertise effectuée par un architecte diplômé, d'ailleurs mandaté par l'assurée, qui tient largement compte de tous les défauts de l'immeuble évoqués par l'assurée et qui réduit pour ces motifs la valeur de l'immeuble de 50% par rapport à la valeur du marché. Ainsi, le Tribunal retiendra la valeur vénale de cette expertise, à l'instar du SPC, la conversion en francs suisses étant par ailleurs correctement effectuée. Il n'est ainsi pas possible d'admettre que cette maison n'a qu'une valeur sentimentale. Sur cette base, le calcul effectué par le SPC pour déterminer la part de fortune à prendre en compte est conforme à la loi, étant précisé que le montant de l'épargne n'est pas contesté (pour les années 2005 à 2008: 98'457 fr. + 3'700 fr. - 25'000 fr. x 1/10 = 7'715 fr 70: PCF et 98'457 fr + 3'700 fr. - 25'000 fr. x 1/5ème = 15'431 fr.40: PCC). Le calcul est identique pour 2009 avec une légère hausse de l'épargne (98'457 fr + 17'945 fr. 85 - 25'000 fr. x 1/10 = 90'140 fr.30: PCF et 98'457 fr + 17'945 fr. 85 - 25'000 fr. x 1/5ème = 18'280 fr 55: PCC). A noter que l'immeuble n'étant pas habité par l'assurée durant la période considérée, il ne se justifie pas de retenir une valeur fiscale après déduction de 75'000 fr. En troisième lieu, l'assurée fait valoir que la maison n'a jamais été louée, qu'en raison de l'usufruit de sa belle mère, elle n'en disposait pas et que son état déplorable empêchait toute location. Il s'avère toutefois, d'une part, que l'usufruit a pris fin en 2002 au décès de sa belle mère, de sorte que depuis lors, l'assurée détenait la pleine propriété de la maison et pouvait en disposer à sa guise. D'autre part, si la maison a été habitée par sa belle mère ou louée à des tiers par celle-ci de 1991 à 2002, et rénovée dans les années nonante à cette fin, rien n'explique pourquoi elle ne pouvait plus être mise en location depuis 2002, le cas échéant pour un loyer modeste correspondant à l'état et la taille de la maison, de sorte qu'il faut admettre que l'assurée s'est dessaisie d'un revenu potentiel en renonçant à mettre en location la maison jusqu'à ce qu'elle y emménage en juin 2009. Ainsi, le Tribunal admettra, au titre de revenu, la valeur locative retenue par le SPC étant précisé qu'il a confirmé dans d'autres causes le caractère admissible du taux de 4,5 % retenu. En l'espèce, cela correspond à un loyer de 369 fr. 20 par mois (243 € par mois) ce qui ne paraît pas excessif pour une petite maison comportant deux chambres à coucher. A toutes fins utiles et bien que le grief de l'assurée soit infondé, il s'avère que sur la base de la valeur admise par celle-ci pour sa maison (40'000 € soit 60'776 fr.), les prestations complémentaires versées ne seraient pas dues non plus. La part de fortune prise en compte (y compris l'épargne) serait ainsi de 5'870 fr. (PCF), respectivement de 11'740 fr. (PCC) au lieu de 7'715 fr. et 15'431 fr., et le revenu locatif de 2'735 fr. au lieu de 4'430 fr. Il en découle que les revenus excédent encore les dépenses de 9'655 fr (PCF) et de 6'165 fr. (PCC) pour les années 2005 à 2008 et plus pour l'année 2009. En quatrième lieu, l'assurée indique que la vente de la maison ne lui permettrait pas de rembourser toute la somme due et l'obligerait surtout à revenir à Genève, pour y louer un logement cher et, sous-entend-elle, solliciter à nouveau des prestations complémentaires, de sorte que cette solution serait plus onéreuse pour l'Etat que son maintien en Italie dans sa maison. Ce grief est infondé, car les conditions d'octroi des prestations complémentaires doivent s'apprécier sur la base de la situation de l'assuré durant la période considérée, et non pas à posteriori, lors de la demande de restitution sur 5 ans. Or, la révision effectuée par le SPC démontre que durant les cinq ans considérés, l'assurée n'aurait pas eu droit ni besoin des prestations complémentaires perçues si elle avait loué sa maison en Italie, même en retenant une part limitée de fortune. Elle pouvait donc vivre à Genève, dans le logement qu'elle louait et compléter sa rente AVS du produit de la location de sa maison en Italie, ou vendre la maison et compléter ses revenus du produit de la vente et de ses intérêts. A l'inverse, elle pouvait aller vivre en Italie dès qu'elle a recouvré la libre disposition de sa maison en 2002 et n'aurait pas non plus perçu de prestations complémentaires sur la période considérée, de sorte que dans toutes les hypothèses, les prestations n'étaient pas dues sur cette période. Au demeurant, la révision et la décision de restitution qui en découle ont simplement pour but de rétablir l'ordre légal, après la découverte du fait nouveau. Pour le surplus, le recours de l'assuré s'apparente à une demande de remise car elle fait valoir sa bonne foi et sa situation financière pour être libérée du remboursement de la somme réclamée. La demande de remise doit être déposée dans les 30 jours à compter de l'entrée en force de la décision de restitution, en application de l'article 4 alinéa 4 OPGA. L' art. 52 al. 1 LPGA prévoit cependant qu'avant d'être soumises au Tribunal, les décisions d'un assureur doivent être attaquées dans les trente jours par voie d'opposition auprès de l'assureur qui les a rendues. Il ressort du dossier que l'assurée n'a pas demandé de remise au SPC, avant de saisir le Tribunal, de sorte que celui-ci ne s'est pas prononcé sur cette demande. Ultérieurement, l'assurée a adressé au SPC une autre demande de remise, qui est en suspens auprès du SPC. Pour garantir le respect du double degré de juridiction, il convient que le SPC rende une décision susceptible d'opposition, puis de recours. Le recours est par conséquent prématuré et irrecevable, s'agissant de la demande de remise. Selon l'art. 11 al. 3 de la loi sur la procédure administrative, du 12 septembre 1985 (LPA ; RS E 5 10), si l'autorité décline sa compétence, elle transmet d'office l'affaire à l'autorité compétente et en avise les parties. En l'occurrence, le recours interjeté par l'assurée est rejeté, s'agissant du principe de la restitution et doit être transmis à l'intimé comme objet de sa compétence, s'agissant de la demande de remise.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