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A/1752/2025 vom 27. Oktober 2025</w:t>
      </w:r>
    </w:p>
    <w:p>
      <w:r>
        <w:t>GE Cour de justice, 2025-10-27, FR</w:t>
      </w:r>
    </w:p>
    <w:p>
      <w:r>
        <w:rPr>
          <w:b/>
        </w:rPr>
        <w:t xml:space="preserve">Quelle: </w:t>
      </w:r>
      <w:r>
        <w:t>https://mcp.opencaselaw.ch/entscheid/ge_gerichte_A_1752_2025</w:t>
      </w:r>
    </w:p>
    <w:p>
      <w:r>
        <w:t>FR: GE_GERICHTE A/1752/2025 du 27 octobre 2025</w:t>
      </w:r>
    </w:p>
    <w:p>
      <w:r>
        <w:t>IT: GE_GERICHTE A/1752/2025 del 27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est litigieux le départ du droit à la rente entière d’invalidité allouée depuis le 1 er janvier 2025, le recourant concluant à un droit depuis le 1 er septembre 2023, soit postérieurement au 1 er janvier 2022, de sorte que les dispositions légales applicables seront citées dans leur nouvelle teneur.</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2.2</w:t>
      </w:r>
    </w:p>
    <w:p>
      <w:r>
        <w:t>En l’occurrence, la décision attaquée alloue au recourant une rente entière d’invalidité dès le 1 er janvier 2025. Est ainsi litigieux le départ de ce droit, le recourant concluant à l’octroi de sa rente d’invalidité dès le 1 er septembre 2023. En revanche, la demande formée par le recourant de reconsidération de la décision de l’intimé du 13 février 2019 outrepasse l’objet du présent litige, étant de surcroit relevé que l’intimé, dans son écriture du 16 juin 2025, a indiqué qu’il n’entendait pas entrer en matière sur cette demande et que de jurisprudence constante, l'administration n'est pas tenue de reconsidérer les décisions mais qu’elle en a simplement la faculté ( cf. art. 53 al. 2 LPGA) et que ni l'assuré ni le juge ne peuvent l'y contraindre (ATF 133 V 50 consid. 4.1 et les références), de sorte qu’il n'existe pas de droit à la reconsidération que l'assuré pourrait déduire en justice.</w:t>
      </w:r>
    </w:p>
    <w:p>
      <w:r>
        <w:rPr>
          <w:b/>
        </w:rPr>
        <w:t>E. 3.1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w:t>
      </w:r>
    </w:p>
    <w:p>
      <w:r>
        <w:rPr>
          <w:b/>
        </w:rPr>
        <w:t>E. 3.2</w:t>
      </w:r>
    </w:p>
    <w:p>
      <w:r>
        <w:t>Selon la jurisprudence, si la capacité de gain d'une personne assurée peut être rétablie, maintenue ou améliorée par des mesures de réadaptation raisonnablement exigibles, le principe de la « priorité de la réadaptation sur la rente » s'applique ( cf. art. 28 al. 1 let. a LAI). Ce n'est que lorsqu'aucune mesure appropriée n'est (plus) envisageable qu'un droit à une rente peut être accordé ; dans le cas contraire, des mesures de réadaptation appropriées doivent être ordonnées au préalable. Selon la conception légale, une rente ne peut être octroyée avant la mise en œuvre de mesures de réadaptation (le cas échéant également avec effet rétroactif) que si la personne assurée n'était pas - ou pas encore - apte à être réadaptée en raison de son état de santé. Le droit à une rente ne peut en principe naitre qu'après la fin des mesures de réadaptation même si celles-ci n'ont eu qu'un succès partiel ou ont échoué. Il en va autrement après que des mesures d'instruction visant à déterminer si la personne assurée peut être réadaptée révèlent qu'elle ne l'est pas ; dans ce cas, une rente peut être octroyée rétroactivement (ATF 151 V 194 consid. 5.1.2 et les références ; 148 V 397 consid. 6.2.4 et les références ; 121 V 190 consid. 4 ; arrêt du Tribunal fédéral 8C_652/2024 du 28 juillet 2025 consid. 4.1).  La preuve de l'absence de capacité de réadaptation comme condition à l'octroi d'une rente d'invalidité doit présenter un degré de vraisemblance prépondérante (ATF 121 V 190 consid. 4d ; arrêt du Tribunal fédéral 9C_559/2021 du 14 juillet 2022 consid. 2.2 et les références). Le principe de la primauté de la réadaptation sur la rente n'exclut pas la possibilité d'octroyer une rente rétroactivement. Cela vaut aussi lorsque la personne assurée ne pouvait pas encore être réadaptée en raison de son état de santé et que des mesures de réadaptation sont envisagées à l'avenir (« selbst wenn in Zukunft Eingliederungsmassnahmen beabsichtigt sind », arrêt du Tribunal fédéral 8C_652/2024 du 28 juillet 2025 consid. 4.4.1 et les références).</w:t>
      </w:r>
    </w:p>
    <w:p>
      <w:r>
        <w:rPr>
          <w:b/>
        </w:rPr>
        <w:t>E. 4</w:t>
      </w:r>
    </w:p>
    <w:p>
      <w:r>
        <w:t>En l’occurrence, l’intimé a reconnu que le recourant était totalement incapable de travailler depuis le 1 er octobre 2022, la capacité de travail de 50% dès le 1 er juillet 2023, considérée par le SMR dans son avis du 26 février 2024, n’étant finalement pas exigible. En conséquence, à l’issue du délai de carence, le 1 er octobre 2023, le recourant a en principe droit à une rente entière d’invalidité, étant relevé que sa demande de prestations a été déposée plus de six mois auparavant, soit en mars 2023. L’intimé estime cependant que le droit à la rente entière du recourant ne peut naitre qu’à l’issue des mesures professionnelles, soit le 1 er janvier 2025.</w:t>
      </w:r>
    </w:p>
    <w:p>
      <w:r>
        <w:rPr>
          <w:b/>
        </w:rPr>
        <w:t>E. 4.1</w:t>
      </w:r>
    </w:p>
    <w:p>
      <w:r>
        <w:t>L’intimé, suivant l’appréciation du SMR du 26 février 2024, a retenu que le recourant était incapable de travailler dès le 1 er octobre 2022 et capable de travailler à un taux de 50% dans une activité adaptée dès le 1 er juillet 2023. Le SMR a considéré que tous les médecins s’accordaient sur une capacité de travail du recourant de 50%. On constate cependant que la Dre B______ a, le 15 août 2023, considéré que l’évolution était lentement favorable et que, si elle le restait, il y aurait une possibilité de reprise d’une activité adaptée, d’abord à un taux de 50%. Or, cette capacité de travail, conditionnée au maintien d’une évolution favorable, n’a pas été confirmée par le Dr E______, lequel a repris le suivi du recourant dès le 1 er novembre 2023, puisqu’il a attesté d’une capacité de travail à un taux de 50% au plus tôt dès le 1 er mars 2024. Le Dr E______ a en effet relevé, le 10 janvier 2024, que le recourant avait présenté, plusieurs mois auparavant, un épisode dépressif caractérisé d’intensité sévère, dans le cadre d’un trouble bipolaire de type II et que progressivement, l’intensité des symptômes avait diminué. Ainsi, contrairement à l’avis du SMR, l’éventuelle aptitude à la réadaptation du recourant n’a en tous les cas pas pu débuter avant le 1 er mars 2024, à teneur des rapports du psychiatre-traitant, sur lesquels le SMR a fondé son appréciation. Cela dit, le Dr F______, en charge du suivi du recourant depuis juin 2024, a ensuite considéré (entretien téléphonique avec l’intimé du 27 novembre 2024 et rapport du Dr F______ du 11 décembre 2024), que le recourant présentait des troubles psychiatriques totalement incapacitants, la psychopathologie étant complexe. Il a relevé que le contexte professionnel exposerait le recourant a être confronté de manière trop importante à d’autres personnes ce qui, rapidement engendrerait un stress, des angoisses et un sentiment de dénigrement, tout comme un poste ennuyant créerait un sentiment d’inutilité et de dévalorisation. Au vu des appréciations médicales des psychiatres traitants qui se sont succédés, le recourant n’a, en réalité, jamais présenté de capacité de travail, même à un taux réduit de 50%, depuis le 1 er juillet 2023. Ce constat est d’ailleurs confirmé, d’une part, par le rapport final MOP du 16 janvier 2025, lequel relève que le recourant n’est pas en mesure d’honorer le cahier des charges d’un emploi adapté, d’autre part, par le rapport de I______ du 29 octobre 2024, lequel met en évidence les importants problèmes relationnels et de concentration du recourant, lesquels rejoignent les conclusions du Dr F______. En conséquence, il convient d’admettre que le recourant ne pouvait pas être réadapté en raison de son état de santé entre le 1 er juillet 2023 et le 31 décembre 2024.</w:t>
      </w:r>
    </w:p>
    <w:p>
      <w:r>
        <w:rPr>
          <w:b/>
        </w:rPr>
        <w:t>E. 4.2</w:t>
      </w:r>
    </w:p>
    <w:p>
      <w:r>
        <w:t>Au vu de ce qui précède, le droit à la rente entière du recourant doit lui être reconnu depuis le 1 er octobre 2023, étant à cet égard constaté que, contrairement à l’avis du recourant, une incapacité de travail est établie seulement depuis le 1 er octobre 2022 et non pas durant les mois précédents et qu’une éventuelle incapacité de travail de 2014 à 2017, qu’il allègue, ne permettrait pas de faire naitre le droit à la rente au 1 er septembre 2023, comme demandé par le recourant.</w:t>
      </w:r>
    </w:p>
    <w:p>
      <w:r>
        <w:rPr>
          <w:b/>
        </w:rPr>
        <w:t>E. 5</w:t>
      </w:r>
    </w:p>
    <w:p>
      <w:r>
        <w:t>Le recours sera partiellement admis et la décision litigieuse réformée, en ce sens que la rente entière d’invalidité du recourant est due dès le 1 er octobre 2023. Le recourant obtenant partiellement gain de cause,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