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A/1752/2022 vom 23. November 2022</w:t>
      </w:r>
    </w:p>
    <w:p>
      <w:r>
        <w:t>GE Cour de justice, 2022-11-23, FR</w:t>
      </w:r>
    </w:p>
    <w:p>
      <w:r>
        <w:rPr>
          <w:b/>
        </w:rPr>
        <w:t xml:space="preserve">Quelle: </w:t>
      </w:r>
      <w:r>
        <w:t>https://mcp.opencaselaw.ch/entscheid/ge_gerichte_A_1752_2022</w:t>
      </w:r>
    </w:p>
    <w:p>
      <w:r>
        <w:t>FR: GE_GERICHTE A/1752/2022 du 23 novembre 2022</w:t>
      </w:r>
    </w:p>
    <w:p>
      <w:r>
        <w:t>IT: GE_GERICHTE A/1752/2022 del 23 novembre 2022</w:t>
      </w:r>
    </w:p>
    <w:p>
      <w:pPr>
        <w:pStyle w:val="Heading2"/>
      </w:pPr>
      <w:r>
        <w:t>Erwägungen</w:t>
      </w:r>
    </w:p>
    <w:p>
      <w:r>
        <w:rPr>
          <w:b/>
        </w:rPr>
        <w:t>E. 4</w:t>
      </w:r>
    </w:p>
    <w:p>
      <w:r>
        <w:t>![endif]&gt;![if&gt;</w:t>
      </w:r>
    </w:p>
    <w:p>
      <w:r>
        <w:rPr>
          <w:b/>
        </w:rPr>
        <w:t>E. 4.1</w:t>
      </w:r>
    </w:p>
    <w:p>
      <w:r>
        <w:t>Aux termes de l’art. 31 al. 3 LACI, n’ont pas droit à l’indemnité en cas de RHT : les travailleurs dont la RHT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(let. c).![endif]&gt;![if&gt; Si le droit à l’indemnité en cas de RHT était donné à des personnes qui se trouvent dans une position similaire à celle de l’employeur – lequel n’a pas droit à cette indemnité pour lui-même –, elles pourraient déterminer l'étendue de l'indemnisation – qui dépend du salaire contractuel et du taux de réduction de l’horaire de travail (art. 34 LACI) – ainsi que le moment de la survenance du risque assuré (ATF 123 V 234 consid. 7a ; Boris RUBIN, op. cit., n. 40 ad art. 31 LACI). Elles seraient également les personnes de référence pour renseigner les organes d'exécution au sujet des conditions d'indemnisation. L'exclusion du droit des personnes concernées vise donc à prévenir les abus et les conflits d'intérêts, ce à quoi s’ajoutent les difficultés d'examen de telles situations (Message du Conseil fédéral concernant une nouvelle loi fédérale sur l'assurance-chômage obligatoire et l'indemnité en cas d'insolvabilité du 2 juillet 1980, FF 1980 III 596 ; Boris RUBIN, op. cit., n. 40 ad art. 31 LACI). Selon la jurisprudence relative à l'art. 31 al. 3 let. c LACI, il n'est pas admissible de refuser, de façon générale, le droit aux prestations aux employés au seul motif qu'ils peuvent engager l'entreprise par leur signature et qu'ils sont inscrits au registre du commerce (ATF 122 V 270 consid. 3 ; ATF 120 V 521 ; arrêts du Tribunal fédéral 8C_865/2015 du 6 juillet 2016 consid. 4.2 et 8C_1044/2008 du 13 février 2009 consid. 3.2.1; cf. aussi THOMAS NUSSBAUMER, Arbeitslosenversicherung, in Soziale Sicherheit, SBVR vol. 14, 3ème éd., 2016, n. 465 p. 2405; Boris RUBIN, op. cit., n. 41 ad art. 31 LACI). On ne saurait se fonder de façon stricte sur la position formelle de l'organe à considérer, mais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(arrêt du Tribunal fédéral 8C_865/2015 précité consid. 4.2, 8C_84/2008 du 3 mars 2009 [DTA 2009 p. 177] et 8C_1044/2008 précité consid. 3.2.1). En particulier, lorsqu'il s'agit de déterminer quelle est la possibilité effective d'un dirigeant d'influencer le processus de décision de l'entreprise, il convient de prendre en compte les rapports internes existant dans l'entreprise (structure entrepreneuriale interne ; ATF 145 V 200 consid. 4.2 ; ATF 122 V 270 consid. 3 ; Boris RUBIN, op. cit., n. 41 ad art. 31 LACI). On établira l'étendue du pouvoir de décision en fonction des circonstances concrètes (arrêt du Tribunal fédéral 8C_1044/2008 précité consid. 3.2.1 et les arrêts cités). En d’autres termes, il y a lieu de vérifier, dans chaque cas, sur la base de la structure d'organisation de l'entreprise, de quel pouvoir de décision jouit effectivement la personne concernée. Cette vérification est parfois compliquée car l'appartenance à une instance supérieure de décision de l'entreprise ne peut pas toujours être délimitée de l'appartenance à un niveau inférieur de direction à l'aide de critères formels. On ne pourra déduire d'emblée d'une procuration ou d'autres pouvoirs conférés à une personne que celle-ci occupe une position assimilable à celle d'un employeur dans l'entreprise car ces documents ne règlent que les responsabilités de l'intéressé envers l'extérieur. De telles délégations de pouvoirs confèrent certes à leur titulaire des compétences semblables sur le plan interne, mais ne permettent pas de conclure que la personne en question exerce une influence considérable sur les décisions de l'employeur, sans se référer au statut ni au contrat de la personne et encore moins aux circonstances inhérentes à l'entreprise (Secrétariat d’État à l’économie [ci-après : SECO], Bulletin LACI RHT, B38). On ne déduira pas forcément, sans tenir compte des circonstances inhérentes à l'entreprise, qu'un directeur général responsable du domaine administratif et financier, disposant d'un droit de signature individuelle sans toutefois faire partie du conseil d'administration, exerce une influence considérable sur les décisions de l'employeur. Dans une petite entreprise ayant une organisation moins structurée, cette position peut néanmoins, selon les circonstances, signifier une influence considérable sur les décisions de l'employeur, même si la personne en question ne jouit pas officiellement du droit de signature et n'est pas inscrite au registre du commerce. Il faut alors être en mesure de prouver, en l'occurrence, que l'assuré peut effectivement exercer une influence considérable sur les décisions de l'employeur (SECO, Bulletin LACI RHT, B38 ; cf. aussi notamment arrêt du Tribunal fédéral 8C_252/2011 du 14 juin 2011).</w:t>
      </w:r>
    </w:p>
    <w:p>
      <w:r>
        <w:rPr>
          <w:b/>
        </w:rPr>
        <w:t>E. 4.2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5</w:t>
      </w:r>
    </w:p>
    <w:p>
      <w:r>
        <w:t>![endif]&gt;![if&gt;</w:t>
      </w:r>
    </w:p>
    <w:p>
      <w:r>
        <w:rPr>
          <w:b/>
        </w:rPr>
        <w:t>E. 5.1</w:t>
      </w:r>
    </w:p>
    <w:p>
      <w:r>
        <w:t>En l’espèce, il résulte des pièces du dossier et de l’audition de la recourante et de son fils que ce dernier n’avait pas de position assimilable à celle d’un employeur pendant la période en cause. En effet, quand bien même il était inscrit au registre du commerce avec procuration individuelle, qu’il était appelé à reprendre la direction de l’entreprise familiale dans le futur et qu’il avait remplacé sa mère alors qu’elle était malade, cette dernière était clairement la seule détentrice du pouvoir de décision pour l’entreprise. Si elle a décidé de transmettre la direction de celle-ci à son fils dès 2023, elle n’avait pas l’intention de le faire jusque-là. À l’exception de la commande des boissons, son fils ne pouvait prendre aucune décision sans en référer à elle. Dès le 5 décembre 2019, il disposait d’une procuration individuelle lui permettant de représenter l’employeuse, de sorte que le fait qu’il a signé les demandes d’indemnité en cas de RHT et utilisé pour ce faire un tampon portant son nom n’est pas déterminant. Le fait d’être le seul à avoir le certificat de capacité de cafetier ne lui conférait pas d’emblée une position assimilable à celle d’un employeur, pas plus le fait qu’il a dû suppléer sa mère pendant la maladie celle-ci.![endif]&gt;![if&gt;</w:t>
      </w:r>
    </w:p>
    <w:p>
      <w:r>
        <w:rPr>
          <w:b/>
        </w:rPr>
        <w:t>E. 5.2</w:t>
      </w:r>
    </w:p>
    <w:p>
      <w:r>
        <w:t>L’épouse du fils de la recourante n’avait pas non plus une position assimilable à celle d’un employeur, quand bien même elle a été active pendant la période en cause pour représenter l’employeuse dans ses rapports avec l’OCE et l’intimée, puisqu’il ressort de la procédure que la direction de l’établissement a toujours été exercée par sa belle-mère, à laquelle elle se référait.![endif]&gt;![if&gt;</w:t>
      </w:r>
    </w:p>
    <w:p>
      <w:r>
        <w:rPr>
          <w:b/>
        </w:rPr>
        <w:t>E. 6</w:t>
      </w:r>
    </w:p>
    <w:p>
      <w:r>
        <w:t>En conclusion, le recours sera admis et la décision sur opposition annulée. Il sera dit que la recourante avait droit à l’indemnité en cas de RHT pour son fils et sa belle-fille de décembre 2020 à juin 2021, que l’intimée ne pouvait en conséquence demander la restitution des indemnités déjà versées à ce titre à hauteur de CHF 91'572.30 et qu’elle doit rembourser à la recourante le montant de CHF 9'649.60 déjà compensé par elle avec des paiements complémentaires pour les mois de février et mars 2021.![endif]&gt;![if&gt; La recourante obtenant gain de cause et étant assistée d’un conseil, elle a droit à des dépens qui seront fixés à CHF 2'000.- (art. 61 let. g LPGA). La procédure est gratuite (art. 61 let. 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