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A/1750/2010 vom 17. Juni 2009</w:t>
      </w:r>
    </w:p>
    <w:p>
      <w:r>
        <w:t>GE Cour de justice, 2009-06-17, FR</w:t>
      </w:r>
    </w:p>
    <w:p>
      <w:r>
        <w:rPr>
          <w:b/>
        </w:rPr>
        <w:t xml:space="preserve">Quelle: </w:t>
      </w:r>
      <w:r>
        <w:t>https://mcp.opencaselaw.ch/entscheid/ge_gerichte_A_1750_2010</w:t>
      </w:r>
    </w:p>
    <w:p>
      <w:r>
        <w:t>FR: GE_GERICHTE A/1750/2010 du 17 juin 2009</w:t>
      </w:r>
    </w:p>
    <w:p>
      <w:r>
        <w:t>IT: GE_GERICHTE A/1750/2010 del 17 giugno 2009</w:t>
      </w:r>
    </w:p>
    <w:p>
      <w:pPr>
        <w:pStyle w:val="Heading2"/>
      </w:pPr>
      <w:r>
        <w:t>Regeste</w:t>
      </w:r>
    </w:p>
    <w:p>
      <w:r>
        <w:t>Délai pour agir. Circulaire. Intérêt à agir. Qualité pour agir. Etat de collocation. Production tardive. | Le créancier qui a produit tardivement ne peut agir par la voie de l'art. 250 al. 2 LP. La répartition provisoire de dividendes, dans le cadre d'une faillite liquidée en la forme sommaire, ne lui cause aucun préjudice, ni actuel, ni réel, ni même hypothétique. Question du bien-fondé d'une telle décision non tranchée. | LP.239.1 ; LP.250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Dépourvue d'intérêt juridique, la plainte sera en conséquence déclarée irrecevable.</w:t>
      </w:r>
    </w:p>
    <w:p>
      <w:r>
        <w:rPr>
          <w:b/>
        </w:rPr>
        <w:t>E. 4</w:t>
      </w:r>
    </w:p>
    <w:p>
      <w:r>
        <w:t>La présente décision rend sans objet la demande de révocation de l'ordonnance du 18 mai 2010.</w:t>
      </w:r>
    </w:p>
    <w:p>
      <w:r>
        <w:rPr>
          <w:b/>
        </w:rPr>
        <w:t>E. 5</w:t>
      </w:r>
    </w:p>
    <w:p>
      <w:r>
        <w:t>Conformément aux art. 20a al. 2 ch. 5 LP, 61 al. 2 let. a et 62 al. 2 OELP, il n'est pas perçu d'émolument de justice, ni alloué des dépens.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