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A/174/2012 vom 22. Februar 2012</w:t>
      </w:r>
    </w:p>
    <w:p>
      <w:r>
        <w:t>GE Cour de justice, 2012-02-22, FR</w:t>
      </w:r>
    </w:p>
    <w:p>
      <w:r>
        <w:rPr>
          <w:b/>
        </w:rPr>
        <w:t xml:space="preserve">Quelle: </w:t>
      </w:r>
      <w:r>
        <w:t>https://mcp.opencaselaw.ch/entscheid/ge_gerichte_A_174_2012</w:t>
      </w:r>
    </w:p>
    <w:p>
      <w:r>
        <w:t>FR: GE_GERICHTE A/174/2012 du 22 février 2012</w:t>
      </w:r>
    </w:p>
    <w:p>
      <w:r>
        <w:t>IT: GE_GERICHTE A/174/2012 del 22 febbraio 2012</w:t>
      </w:r>
    </w:p>
    <w:p>
      <w:pPr>
        <w:pStyle w:val="Heading2"/>
      </w:pPr>
      <w:r>
        <w:t>Erwägungen</w:t>
      </w:r>
    </w:p>
    <w:p>
      <w:r>
        <w:rPr>
          <w:b/>
        </w:rPr>
        <w:t>E. 1</w:t>
      </w:r>
    </w:p>
    <w:p>
      <w:r>
        <w:t>Madame X______, née en 1963, a été engagée le 1 er septembre 1984 au département des finances et contributions (aujourd'hui département des finances, ci-après : DF), service immobilier, en qualité d'employée, ce en tant que commise administrative 3.</w:t>
      </w:r>
    </w:p>
    <w:p>
      <w:r>
        <w:rPr>
          <w:b/>
        </w:rPr>
        <w:t>E. 2</w:t>
      </w:r>
    </w:p>
    <w:p>
      <w:r>
        <w:t>Mme X______ a été nommée fonctionnaire le 18 novembre 1987 par arrêté du Conseil d'Etat.</w:t>
      </w:r>
    </w:p>
    <w:p>
      <w:r>
        <w:rPr>
          <w:b/>
        </w:rPr>
        <w:t>E. 3</w:t>
      </w:r>
    </w:p>
    <w:p>
      <w:r>
        <w:t>Elle a été promue taxatrice immobilière 1 le 1 er janvier 1995, et taxatrice immobilière 2 le 1 er juillet 2000.</w:t>
      </w:r>
    </w:p>
    <w:p>
      <w:r>
        <w:rPr>
          <w:b/>
        </w:rPr>
        <w:t>E. 4</w:t>
      </w:r>
    </w:p>
    <w:p>
      <w:r>
        <w:t>Lors d'un entretien de service ayant eu lieu le 25 juin 2010, la hiérarchie de Mme X______ lui a indiqué qu'elle entendait mettre fin aux rapports de service pour insuffisance de prestations.</w:t>
      </w:r>
    </w:p>
    <w:p>
      <w:r>
        <w:rPr>
          <w:b/>
        </w:rPr>
        <w:t>E. 5</w:t>
      </w:r>
    </w:p>
    <w:p>
      <w:r>
        <w:t>Par lettre du 1 er juillet 2010 adressée au service des ressources humaines du DF, Mme X______ a fait valoir qu'elle avait été, depuis septembre 2007, confrontée à d'importants problèmes de santé. Elle avait donné satisfaction comme employée pendant plus de vingt-cinq ans mais depuis mai 2008, son employeur avait sans cesse formulé à son égard de nouvelles exigences. Elle proposait que son cas soit traité « sous l'angle d'un transfert » dans une fonction d'accueil ou de renseignements aux administrés.</w:t>
      </w:r>
    </w:p>
    <w:p>
      <w:r>
        <w:rPr>
          <w:b/>
        </w:rPr>
        <w:t>E. 6</w:t>
      </w:r>
    </w:p>
    <w:p>
      <w:r>
        <w:t>Par lettre du 4 août 2010, le DF a informé Mme X______ qu'un reclassement était envisagé.</w:t>
      </w:r>
    </w:p>
    <w:p>
      <w:r>
        <w:rPr>
          <w:b/>
        </w:rPr>
        <w:t>E. 7</w:t>
      </w:r>
    </w:p>
    <w:p>
      <w:r>
        <w:t>Le 9 décembre 2010, le Conseiller d'Etat en charge du DF a décidé de reclasser Mme X______ en qualité de taxatrice 1 au service des titres dès le 1 er décembre 2010, étant précisé que la proposition de reclassement à ce poste avait préalablement été acceptée par l'intéressée.</w:t>
      </w:r>
    </w:p>
    <w:p>
      <w:r>
        <w:rPr>
          <w:b/>
        </w:rPr>
        <w:t>E. 8</w:t>
      </w:r>
    </w:p>
    <w:p>
      <w:r>
        <w:t>Lors d'un entretien de service ayant eu lieu le 15 septembre 2011, la hiérarchie de Mme X______ lui a indiqué qu'elle envisageait la résiliation des rapports de service pour motifs fondés, les prestations délivrées dans son nouveau poste étant jugées insuffisantes.</w:t>
      </w:r>
    </w:p>
    <w:p>
      <w:r>
        <w:rPr>
          <w:b/>
        </w:rPr>
        <w:t>E. 9</w:t>
      </w:r>
    </w:p>
    <w:p>
      <w:r>
        <w:t>Le 2 octobre 2011, Mme X______ a écrit au service des ressources humaines du DF pour lui faire part de ses observations au sujet de l'entretien de service précité.</w:t>
      </w:r>
    </w:p>
    <w:p>
      <w:r>
        <w:rPr>
          <w:b/>
        </w:rPr>
        <w:t>E. 10</w:t>
      </w:r>
    </w:p>
    <w:p>
      <w:r>
        <w:t>Par décision du 5 décembre 2011, déclarée exécutoire nonobstant recours, le Conseiller d'Etat en charge du DF a résilié les rapports de travail de Mme X______ pour le 31 mars 2012, en se référant aux motifs évoqués lors des entretiens de service des 25 juin 2010 et 15 septembre 2011.</w:t>
      </w:r>
    </w:p>
    <w:p>
      <w:r>
        <w:rPr>
          <w:b/>
        </w:rPr>
        <w:t>E. 11</w:t>
      </w:r>
    </w:p>
    <w:p>
      <w:r>
        <w:t>Par acte posté le 20 janvier 2012, Mme X______ a interjeté recours contre la décision précitée auprès de la chambre administrative de la Cour de justice (ci-après : la chambre administrative), concluant à titre principal à la constatation de la nullité de la décision du 5 décembre 2011, subsidiairement à la constatation du caractère contraire au droit et donc infondé de la décision attaquée et à ce que soit proposé à l'Etat de Genève de la réintégrer ; en cas de refus de l’Etat, à la condamnation de celui-ci au paiement d'une indemnité correspondant à vingt-quatre mois de traitement. A titre préalable, elle conclut à la restitution de l'effet suspensif au recours. Son droit d'être entendu avait été gravement violé, si bien le recours n'était pas dénué de chances de succès. Elle se trouvait par ailleurs contrainte d'exercer une activité professionnelle salariée afin de subvenir aux besoins de son groupe familial, composé de trois enfants, dont un souffrant d'un handicap important. Enfin, la manière utilisée pour mettre fin aux rapports de service, notamment le fait que la procédure de reclassement ait été tronquée, permettait de penser que l'Etat de Genève serait amené à la réintégrer.</w:t>
      </w:r>
    </w:p>
    <w:p>
      <w:r>
        <w:rPr>
          <w:b/>
        </w:rPr>
        <w:t>E. 12</w:t>
      </w:r>
    </w:p>
    <w:p>
      <w:r>
        <w:t>Le 3 février 2012, le DF a conclu au rejet de la demande de restituer l'effet suspensif au recours. La chambre administrative ne pouvant pas imposer la poursuite des rapports de service, elle ne pouvait, par le biais d'une décision sur effet suspensif, s'arroger plus de compétences que la loi ne lui en accordait sur le fond, le DF ayant clairement manifesté sa volonté de ne pas poursuivre les relations de service au-delà de leur terme.</w:t>
      </w:r>
    </w:p>
    <w:p>
      <w:r>
        <w:rPr>
          <w:b/>
        </w:rPr>
        <w:t>E. 13</w:t>
      </w:r>
    </w:p>
    <w:p>
      <w:r>
        <w:t>Sur ce, la cause a été gardée à juger sur effet suspensif. Considérant, en droit, que : 1. La compétence pour ordonner la restitution de l'effet suspensif au recours appartient au président de la chambre administrative (art. 5 du règlement interne de la chambre administrative du 21 décembre 2010, entré en vigueur le 1 er janvier 2011). 2.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265). 4. Selon l'art. 31 al. 2 et 3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travail au sens de l'art. 22 LPAC. 5. Dans sa détermination, l’autorité intimée a clairement indiqué qu’elle n’entendait pas poursuivre les relations de travail avec Mme X______. Dès lors, s’il était fait droit à la demande de restitution de l’effet suspensif présentée par la recourante, la chambre de céans rendrait une décision allant au-delà des compétences qui sont les siennes sur le fond, de sorte qu’il n’y a pas lieu de procéder en l’espèce à une pesée des intérêts en présence ( ATA/92/2012 du 17 février 2012 ; ATA/371/2011 du 7 juin 2011 ; ATA/343/2011 du 25 mai 2011 ; ATA/160/2011 du 11 mars 2011 ; ATA/627/2010 du 8 septembre 2010 : ATA/388/2009 du 11 août 2009 ; ATA/341/2009 du 21 juillet 2009 et les références citées). 6. La demande de restitution de l'effet suspensif sera ainsi rejetée,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Dandres, avocat de la recourante ainsi qu'au département des finances.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