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A/1748/2024 vom 9. Dezember 2024</w:t>
      </w:r>
    </w:p>
    <w:p>
      <w:r>
        <w:t>GE Cour de justice, 2024-12-09, FR</w:t>
      </w:r>
    </w:p>
    <w:p>
      <w:r>
        <w:rPr>
          <w:b/>
        </w:rPr>
        <w:t xml:space="preserve">Quelle: </w:t>
      </w:r>
      <w:r>
        <w:t>https://mcp.opencaselaw.ch/entscheid/ge_gerichte_A_1748_2024</w:t>
      </w:r>
    </w:p>
    <w:p>
      <w:r>
        <w:t>FR: GE_GERICHTE A/1748/2024 du 9 décembre 2024</w:t>
      </w:r>
    </w:p>
    <w:p>
      <w:r>
        <w:t>IT: GE_GERICHTE A/1748/2024 del 9 dicembre 2024</w:t>
      </w:r>
    </w:p>
    <w:p>
      <w:pPr>
        <w:pStyle w:val="Heading2"/>
      </w:pPr>
      <w:r>
        <w:t>Erwägungen</w:t>
      </w:r>
    </w:p>
    <w:p>
      <w:r>
        <w:rPr>
          <w:b/>
        </w:rPr>
        <w:t>E. 2</w:t>
      </w:r>
    </w:p>
    <w:p>
      <w:r>
        <w:t>Le recourant conclut préalablement à l’audition de deux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2.2</w:t>
      </w:r>
    </w:p>
    <w:p>
      <w:r>
        <w:t>En l’espèce, il sera vu plus loin que l’existence entre le recourant et son codétenu d’une relation amicale n’est pas de nature à changer le jugement qui doit être porté sur l’établissement et la qualification des faits à l’origine de la sanction contestée. L’audition des témoins n’apparaît ainsi pas nécessaire pour la solution du litige et il ne sera pas donné suite à la demande d’acte d’instruction.</w:t>
      </w:r>
    </w:p>
    <w:p>
      <w:r>
        <w:rPr>
          <w:b/>
        </w:rPr>
        <w:t>E. 3</w:t>
      </w:r>
    </w:p>
    <w:p>
      <w:r>
        <w:t>Le recourant conteste la sanction, faisant valoir que les événements auraient été mal appréciés par l’intimé.</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3.2</w:t>
      </w:r>
    </w:p>
    <w:p>
      <w:r>
        <w:t>Le statut des personnes incarcérées à La Brenaz est régi par le règlement relatif aux établissements ouverts ou fermés d’exécution des peines et des sanctions disciplinaires du 25 juillet 2007 (REPSD - F 1 50.08), dont les dispositions doivent être respectées par les détenus (art. 42 REPSD). En toute circonstance, ceux-ci doivent observer une attitude correcte à l’égard du personnel, des autres détenus et des tiers (art. 43 REPSD).</w:t>
      </w:r>
    </w:p>
    <w:p>
      <w:r>
        <w:rPr>
          <w:b/>
        </w:rPr>
        <w:t>E. 3.3</w:t>
      </w:r>
    </w:p>
    <w:p>
      <w:r>
        <w:t>Selon l’art. 43 REPSD, la personne détenue doit observer une attitude correcte à l'égard du personnel, des autres personnes détenues et des tiers. Selon l’art. 44 REPSD, il est interdit notamment d'exercer une violence physique ou verbale à l'égard du personnel, des autres personnes détenues et des tiers (let. h), de troubler l'ordre ou la tranquillité dans l'établissement ou les environs immédiats (let. i) et d'une façon générale, d'adopter un comportement contraire au but de l'établissement (let. j).</w:t>
      </w:r>
    </w:p>
    <w:p>
      <w:r>
        <w:rPr>
          <w:b/>
        </w:rPr>
        <w:t>E. 3.4</w:t>
      </w:r>
    </w:p>
    <w:p>
      <w:r>
        <w:t>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 Le directeur de l’établissement et son suppléant en son absence sont compétents pour prononcer a) un avertissement écrit b) la suppression, complète ou partielle, pour une durée maximum de trois mois, des autorisations de sortie, des loisirs, des visites et de la possibilité de disposer des ressources financières c) l’amende jusqu’à CHF 1'000.- et d) les arrêts pour dix jours au plus (art. 46 al. 3 REPSD).</w:t>
      </w:r>
    </w:p>
    <w:p>
      <w:r>
        <w:rPr>
          <w:b/>
        </w:rPr>
        <w:t>E. 3.5</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précité consid. 3.6 ; ATA/679/2023 du 26 juin 2023 consid. 5.4 ; ATA/219/2020 du 25 février 2020 consid. 6d et la référence citée).</w:t>
      </w:r>
    </w:p>
    <w:p>
      <w:r>
        <w:rPr>
          <w:b/>
        </w:rPr>
        <w:t>E. 3.6</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 et les références citées).</w:t>
      </w:r>
    </w:p>
    <w:p>
      <w:r>
        <w:rPr>
          <w:b/>
        </w:rPr>
        <w:t>E. 3.7</w:t>
      </w:r>
    </w:p>
    <w:p>
      <w:r>
        <w:t>En l’espèce, le recourant ne conteste pas les gestes qui ont été retenus par l’intimé. Ceux-ci ont été filmés par les caméras de surveillance et par ailleurs relatés par le troisième détenu qui a tenté d’intervenir pour séparer les protagonistes. Le recourant soutient que l’interaction entre lui et son codétenu devrait être interprétée à la lumière de la relation amicale qu’ils entretiendraient. Or, quand bien même il serait ami avec son codétenu, les gestes qu’il a eus à son encontre ne peuvent être interprétés par un tiers neutre que comme une agression, a fortiori une tentative d’agression ainsi que l’a retenu l’intimé. Les gestes sont objectivement agressifs et le recourant pousse son codétenu, puis le saisit par le cou et enfin semble chercher à le frapper. C’est d’ailleurs comme une agression qu’ils ont été perçus par le troisième détenu, poussant celui-ci à tenter de séparer les protagonistes. Il est ainsi indifférent que le recourant et son codétenu aient pu affirmer aussitôt après qu’il s’agissait en substance d’une simple plaisanterie entre amis qui n’avait rien de sérieux. De même, le fait que le recourant aurait initialement voulu faire une farce à son codétenu ne change rien au caractère objectivement violent de l’altercation qui a suivi. En toute hypothèse, le fait de simuler une bagarre serait aussi passible de sanctions, le REPSD sanctionnant avant tout des comportements objectivement agressifs. Enfin, l’argument selon lequel aucun détenu ne mettrait en jeu sa libération conditionnelle n’est pas de nature à infirmer le constat objectif que le recourant s’en est pris à son codétenu – étant observé que le recourant n’a pas précisé dans sa réplique si la libération conditionnelle lui avait été refusée, et dans l’affirmative pour quels motifs. C’est ainsi de manière conforme à la loi que l’intimé a retenu une violation des art. 34 et 44 REPSD. Le recourant ne discute ni le genre ni la quotité de la sanction. Compte tenu de la tentative d’agression retenue et des antécédents disciplinaires du recourant, la sanction de trois jours de cellule forte apparaît propre à atteindre le but d’inciter le recourant à se conformer au REPSD et de s’abstenir de toute attitude belliqueuse. Sa durée apparaît proportionnée à la gravité de la faute commise et tient compte de manière adéquate des antécédents. Mal fondé, le recours sera rejeté.</w:t>
      </w:r>
    </w:p>
    <w:p>
      <w:r>
        <w:rPr>
          <w:b/>
        </w:rPr>
        <w:t>E. 4</w:t>
      </w:r>
    </w:p>
    <w:p>
      <w:r>
        <w:t>La procédure étant gratuite, il ne sera pas perçu d’émolument (art. 87 al. 1 cum 11 RFPA). Le recourant succombant,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