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A/1748/2002 vom 20. April 2004</w:t>
      </w:r>
    </w:p>
    <w:p>
      <w:r>
        <w:t>GE Cour de justice, 2004-04-20, FR</w:t>
      </w:r>
    </w:p>
    <w:p>
      <w:r>
        <w:rPr>
          <w:b/>
        </w:rPr>
        <w:t xml:space="preserve">Quelle: </w:t>
      </w:r>
      <w:r>
        <w:t>https://mcp.opencaselaw.ch/entscheid/ge_gerichte_A_1748_2002</w:t>
      </w:r>
    </w:p>
    <w:p>
      <w:r>
        <w:t>FR: GE_GERICHTE A/1748/2002 du 20 avril 2004</w:t>
      </w:r>
    </w:p>
    <w:p>
      <w:r>
        <w:t>IT: GE_GERICHTE A/1748/2002 del 20 aprile 2004</w:t>
      </w:r>
    </w:p>
    <w:p>
      <w:pPr>
        <w:pStyle w:val="Heading2"/>
      </w:pPr>
      <w:r>
        <w:t>Erwägungen</w:t>
      </w:r>
    </w:p>
    <w:p>
      <w:r>
        <w:rPr>
          <w:b/>
        </w:rPr>
        <w:t>E. 1</w:t>
      </w:r>
    </w:p>
    <w:p>
      <w:r>
        <w:t>Donne acte au recourant de ce qu'il retire son recours du 17 juin 2002;</w:t>
      </w:r>
    </w:p>
    <w:p>
      <w:r>
        <w:rPr>
          <w:b/>
        </w:rPr>
        <w:t>E. 2</w:t>
      </w:r>
    </w:p>
    <w:p>
      <w:r>
        <w:t>En conséquence, raye la cause du rôle.</w:t>
      </w:r>
    </w:p>
    <w:p>
      <w:r>
        <w:rPr>
          <w:b/>
        </w:rPr>
        <w:t>E. 3</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