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A/173/2024 vom 9. Februar 2024</w:t>
      </w:r>
    </w:p>
    <w:p>
      <w:r>
        <w:t>GE Cour de justice, 2024-02-09, FR</w:t>
      </w:r>
    </w:p>
    <w:p>
      <w:r>
        <w:rPr>
          <w:b/>
        </w:rPr>
        <w:t xml:space="preserve">Quelle: </w:t>
      </w:r>
      <w:r>
        <w:t>https://mcp.opencaselaw.ch/entscheid/ge_gerichte_A_173_2024</w:t>
      </w:r>
    </w:p>
    <w:p>
      <w:r>
        <w:t>FR: GE_GERICHTE A/173/2024 du 9 février 2024</w:t>
      </w:r>
    </w:p>
    <w:p>
      <w:r>
        <w:t>IT: GE_GERICHTE A/173/2024 del 9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Interjeté postérieurement au 1 er janvier 2021, le recours est par conséquent soumis au nouveau droit (cf. art. 82 a LPGA a contrario ). Interjeté dans la forme et le délai prévus par la loi, le recours est prima facie recevable (art. 56 et 60 de la LPGA; art. 89B de la loi sur la procédure administrative du 12 septembre 1985 [LPA-GE - E 5 10]).</w:t>
      </w:r>
    </w:p>
    <w:p>
      <w:r>
        <w:rPr>
          <w:b/>
        </w:rPr>
        <w:t>E. 3</w:t>
      </w:r>
    </w:p>
    <w:p>
      <w:r>
        <w:t>À teneur de l’art. 49 al. 5 LPGA, en vigueur depuis le 1 er janvier 2021, dans sa décision, l’assureur peut priver toute opposition ou tout recours de l’effet suspensif, même si cette décision porte sur une prestation en espèces. Les décisions ordonnant la restitution de prestations versées indûment sont exceptées.![endif]&gt;![if&gt; Ces principes s’appliquent également aux décisions sur opposition (cf. art. 52 al. 4 LPGA entré en vigueur le 1 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 a LPGA, entré en vigueur le 1 er janvier 2021. La pratique fondée sur l’ATF 130 V 407 , qui n’autorise pas le retrait de l’effet suspensif en cas de créances en restitution de prestations indûment perçues, n’est en revanche pas modifiée en vertu de cette harmonisation de la LPGA (cf. art. 49 al. 5 2 ème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4</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référence).![endif]&gt;![if&gt;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arrêt du Tribunal fédéral 9C_207/2014 du 1 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 er mai 2014 consid. 5.3).</w:t>
      </w:r>
    </w:p>
    <w:p>
      <w:r>
        <w:rPr>
          <w:b/>
        </w:rPr>
        <w:t>E. 5</w:t>
      </w:r>
    </w:p>
    <w:p>
      <w:r>
        <w:t>En ce qui concerne tout d'abord le revenu sans invalidité, on rappellera qu'est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139 V 28 consid. 3.3.2 p. 30; 135 V 58 consid. 3.1 p. 59 et la référence). ![endif]&gt;![if&gt;</w:t>
      </w:r>
    </w:p>
    <w:p>
      <w:r>
        <w:rPr>
          <w:b/>
        </w:rPr>
        <w:t>E. 6</w:t>
      </w:r>
    </w:p>
    <w:p>
      <w:r>
        <w:t>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 arrêt 8C_564/2013 du 17 octobre 2013 consid. 6.1 et les références). ![endif]&gt;![if&gt;</w:t>
      </w:r>
    </w:p>
    <w:p>
      <w:r>
        <w:rPr>
          <w:b/>
        </w:rPr>
        <w:t>E. 7</w:t>
      </w:r>
    </w:p>
    <w:p>
      <w:r>
        <w:t>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 arrêts I 47/04 du 6 décembre 2004 consid. 1.2.2 et 9C_607/2012 du 17 avril 2013 consid. 3 ; voir aussi arrêt 8C_255/2010 du 16 novembre 2010 consid. 2).![endif]&gt;![if&gt;</w:t>
      </w:r>
    </w:p>
    <w:p>
      <w:r>
        <w:rPr>
          <w:b/>
        </w:rPr>
        <w:t>E. 8</w:t>
      </w:r>
    </w:p>
    <w:p>
      <w:r>
        <w:t>En l’espèce, l’intimé a privé la recourante de sa rente par décision du 29 novembre 2023 en indiquant qu’un éventuel recours n’aurait pas d’effet suspensif. ![endif]&gt;![if&gt; La recourante fait grief à l’intimé d’avoir appliqué les dispositions finales de la modification du 18 mars 2011 qui ne serait pas applicables à son cas. Elle lui reproche également d’avoir procédé à une comparaison des revenus en se fondant sur un revenu de fleuriste et non celui de paire praticienne et d’avoir modifié le revenu de fleuriste pris en compte pour calculer le degré d’invalidité sans motif, entre la détermination de juillet 2023 (revenu de CHF 65'645.- et degré d’invalidité de 41.95%) et celle d’octobre 2023 (revenu d’invalidité de CHF 59'116.- et degré d’invalidité de 35.53%). S’agissant des chances de succès, le premier grief invoqué apparaît prima facie fondé, dans la mesure où les dispositions finales s’appliquent aux rentes octroyées en raison d’un syndrome sans pathogenèse ni étiologie claires et sans constat de déficit organique, lesquelles doivent être réexaminées dans un délai de trois ans à compter de l’entrée en vigueur de la modification du 18 mars 2011 (6 e révision de l’AI, premier volet), alors que dans le cas de la recourante, le diagnostic de schizophrénie ne fait aucun doute. Cela étant, la prise d’un nouvel emploi peut être un motif de révision au sens de l’art. 17 LPGA, de sorte que la décision attaquée, si elle remplit les conditions de cette disposition pourrait fonder une révision. L’effet suspensif ne saurait dès lors être accordé pour ce motif. Quant aux autres griefs, l’on doit constater que l’intimé, en cherchant à déterminer le degré d’invalidité actuel, s’est fondé sur un revenu brut de CHF 3'623.-, équivalent, selon les informations annotées sur le feuille de détermination du 17 juillet 2023, à un travail à 80% avec un treizième salaire (soit à 100% CHF 65'645.- par an) et selon les annotations d’octobre 2023 à un travail à 82% sans treizième salaire (soit CHF 59'116.-). Ces premiers chiffres ont ainsi été modifiés sans qu’il ne soit possible de déterminer quel était le salaire réellement perçu à l’époque de l’invalidité. Le dossier ne contient pas les CI 2009 et 2010. Cela étant, l’on sait qu’en 2009, l’assurée a été en incapacité de travail durant plusieurs mois et a été hospitalisée. Son employeur s’était développé et la petite structure familiale dans laquelle l’assurée avait un poste alors en partie adapté à son état de santé ne l’était plus, de sorte qu’elle a fait une décompensation psychiatrique. L’on ignore le salaire auquel elle aurait eu droit en 2009, sans l’incapacité de travail. Il ressort de certains éléments médicaux au dossier que le taux de travail aurait passé de 80% à 60% en 2010 (lettre du Dr B______, document 40). Il n’est pas davantage possible de savoir en l’état du dossier si l’assurée a perçu des indemnités de l’assureur-maladie plafonnées à 80% du salaire (de 80%) à la place d’un salaire versé par l’employeur. Si les extraits de CI 2011 indiquent que la recourante a, par la suite, perçu un revenu de CHF 45'276.- alors que sa capacité de travail n’était pas entière, ce montant était potentiellement le salaire versé pour un travail à un taux réduit à 60% ou à 50% (dès le 27 septembre 2010 ; document 43). Si ce montant était le revenu d’un taux de 80%, alors le salaire à plein temps était de CHF 56'595.-, lequel se monterait, une fois actualisé, à CHF 63'103.-. La perte de salaire serait alors de CHF 24'792.- et le taux d’invalidité de 40% (CHF 63'103.- - 38'311.- = 24'792.- ; 39.28% arrondi à 40%). Les revenus ressortant des CI pour les années suivantes, en particulier le salaire annoncé en 2012 (CHF 38'312.-) versé par le même employeur, pour un emploi vraisemblablement à 50%, laissent penser que le salaire pertinent, si l’on retient l’activité de fleuriste, et non celle de paire praticienne comme le souhaite la recourante, était supérieur au salaire de CHF 59'116.- retenu dans la décision attaquée et s’élèverait pour un plein temps, en 2012, à CHF 76'624.-. Ainsi sur la base d’un examen sommaire du dossier, les chiffres retenus pour établir le degré d’invalidité depuis que la recourante a changé de profession ne peuvent pas être confirmés. La recourante veut que le calcul du degré d’invalidité soit réalisé sur la base d’un salaire de paire praticienne et non sur son salaire de fleuriste, puisqu’elle a été atteinte dans sa santé très jeune et a toujours affirmé qu’elle se serait formée dans le domaine social, en l’absence d’invalidité. Si ce point doit faire l’objet d’un examen approfondi, l’on peut d’ores et déjà constater que, dans ce cas particulier, les calculs proposés par l’intimé pour déterminer le degré d’invalidité seront modifiés. Ainsi, les chances de succès, en tant qu’elle porte sur le droit à tout le moins à un quart de rente d’invalidité, apparaissent suffisamment vraisemblables pour qu’il se justifie de restituer l’effet suspensif au recours afin de maintenir le versement d’un quart de rente.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