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A/1738/2013 vom 27. August 2013</w:t>
      </w:r>
    </w:p>
    <w:p>
      <w:r>
        <w:t>GE Cour de justice, 2013-08-27, FR</w:t>
      </w:r>
    </w:p>
    <w:p>
      <w:r>
        <w:rPr>
          <w:b/>
        </w:rPr>
        <w:t xml:space="preserve">Quelle: </w:t>
      </w:r>
      <w:r>
        <w:t>https://mcp.opencaselaw.ch/entscheid/ge_gerichte_A_1738_2013</w:t>
      </w:r>
    </w:p>
    <w:p>
      <w:r>
        <w:t>FR: GE_GERICHTE A/1738/2013 du 27 août 2013</w:t>
      </w:r>
    </w:p>
    <w:p>
      <w:r>
        <w:t>IT: GE_GERICHTE A/1738/2013 del 27 agosto 2013</w:t>
      </w:r>
    </w:p>
    <w:p>
      <w:pPr>
        <w:pStyle w:val="Heading2"/>
      </w:pPr>
      <w:r>
        <w:t>Erwägungen</w:t>
      </w:r>
    </w:p>
    <w:p>
      <w:r>
        <w:rPr>
          <w:b/>
        </w:rPr>
        <w:t>E. 1</w:t>
      </w:r>
    </w:p>
    <w:p>
      <w:r>
        <w:t>ère section dans la cause Monsieur X______ contre PRISON DE CHAMP-DOLLON EN FAIT Monsieur X______, né le ______ 1964, de nationalité algérienne, a été incarcéré à la prison de Champ-Dollon (ci-après : la prison) le 22 avril 2013, dans le cadre d'une exécution de peine. Le 11 mai 2013, M. X______ a déposé ses effets personnels sur le pas de la porte de sa cellule, qu'il partageait avec d'autres codétenus, et informé le personnel de surveillance qu'il voulait être transféré dans une cellule individuelle. Sommé par les surveillants de regagner sa cellule, il a refusé. Le même jour, la direction de la prison a infligé à M. X______ une sanction disciplinaire de trois jours de cellule forte pour refus d'obtempérer et trouble à l'ordre de l'établissement. Le 22 mai 2013, lors du service des repas, une altercation a éclaté entre M. X______ et un autre détenu, Monsieur Y______. Ce dernier a reçu des coups au visage de la part de M. X______, et a été emmené au service médical pour y recevoir des soins, son visage étant en sang. Le même jour, la direction de la prison a ordonné le placement de M. X______ en cellule forte, pendant quatre jours, pour violences physiques exercées sur un détenu. Par acte posté le 30 mai 2013, M. X______ a interjeté recours auprès de la chambre administrative de la Cour de justice (ci-après : la chambre administrative) contre les sanctions précitées, sans prendre de conclusions formelles. Le 11 mai 2013, il avait demandé à être seul et à changer de cellule, ce qu'il avait du reste réclamé chaque jour depuis son arrivée. Il avait ainsi pris ses affaires et était sorti de sa cellule. Il s'était fait « amener au cachot », ce qui était normal, mais une fois en cellule forte, il avait été plaqué au sol, tabassé, humilié et insulté. Plusieurs gardiens le tenaient, l'avaient maintenu au sol et lui avaient ôté son pantalon sans aucune raison. Il avait porté plainte auprès du Ministère public et voulait aussi porter plainte auprès de la chambre administrative. Ce n'était en effet pas la première fois qu'il était confronté à de tels comportements. Il acceptait la punition mais pas l'agression et le « comportement hors-la-loi » du personnel. Le 22 mai 2013, un détenu lui avait « manqué de respect grave » et il lui avait donné trois coups de poing. Il y avait donc eu « bagarre et non violence physique ». Il acceptait la punition mais pas le motif retenu. Le 26 juin 2013, le directeur de la prison a conclu au rejet du recours. Les griefs soulevés par M. X______ par rapport aux événements du 11 mai 2013 ne concernaient pas la sanction, mais l'attitude du personnel de surveillance. Toutes mesures nécessaires avaient du reste été prises à cet égard. Le 22 mai 2013, M. X______ avait agressé un codétenu en le frappant au visage, ce qu'il ne contestait d'ailleurs pas, puisqu'il admettait dans son acte de recours que suite à un manque de respect, il avait porté trois coups de poing à son codétenu. Son attitude avait ainsi un fort potentiel de trouble et avait fait courir un risque objectif à l'ordre et à la tranquillité de l'établissement, en particulier au vu de la surpopulation carcérale. En conséquence, la nature et la quotité de la sanction étaient justifiées. Le 3 juillet 2013, le juge délégué a fixé aux parties un délai au 26 juillet 2013 pour formuler toutes requêtes ou observations complémentaires, après quoi la cause serait gardée à juger. Aucune des parties n'a fait usage de ce délai. EN DROIT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a. Aux termes de l'art. 60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et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1C_133/2009 précité ; ATA/759/2012 précité). e. Quand bien même le recourant a exécuté la mesure contestée, la situation pourrait se présenter à nouveau. Dès lors, la chambre administrative renoncera à l'exigence de l'intérêt actuel pour statuer ( ATA/759/2012 précité consid. 2 ; ATA/418/2012 précité ; ATA/266/2009 du 26 mai 2009).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qui vont du blâme, en passant par l'amende, à la suspension du travail. Le choix à opérer dans un cas particulier obéit au principe de la proportionnalité ; il n'est pas gouverné seulement par des motifs tenant aux circonstances subjectives de la violation incriminée ou à la prévention générale, mais aussi par l'intérêt, objectif, de l'administration à restaurer le rapport de confiance que l'indiscipline a ébranlé : en quelque sorte, le maintien des conditions d'intégrité dans le fonctionnement de l'appareil étatique (P. MOOR/ E. POLTIER, Droit administratif, vol. 2, 3 ème éd., 2011, pp. 142 à 145 et la jurisprudence citée).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 Un détenu doit respecter les dispositions du RRIP, les instructions du directeur de l’office pénitentiaire, et les ordres du directeur et des fonctionnaires de la prison (art. 42 RRIP). Il doit observer une attitude correcte à l’égard du personnel de la prison, des autres personnes incarcérées et des tiers (art. 44 RRIP). Il est interdit aux détenus, d’une façon générale, de troubler l’ordre et la tranquillité de l’établissement (art. 45 let. h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Le directeur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cinq jours au plus (art. 47 al. 3 RRIP), étant précisé que ces sanctions peuvent se cumuler (art. 47 al. 4 RRIP). Le recours à la chambre administrative peut être formé pour violation du droit, y compris l'excès et l'abus du pouvoir d'appréciation, ainsi que pour constatation inexacte ou incomplète des faits pertinents (art. 61 al. 1 LPA) ; les juridictions administratives n'ont pas compétence pour apprécier l'opportunité de la décision attaquée, sauf exception prévue par la loi (art. 61 al. 2). La chambre administrative n'est compétente pour se prononcer sur la violation des devoirs de service du personnel pénitentiaire qu'en cas de recours contre une sanction disciplinaire ou un licenciement qui leur serait notifiée (art. 132 LOJ et 20A LOPP). La dénonciation d'un comportement contraire aux devoirs de service doit dès lors se faire par la voie hiérarchique auprès des autorités chargées de prononcer lesdites mesures, et qui sont décrites à l'art. 17 LOPP. Des comportements tombant sous le coup de la loi pénale peuvent également être dénoncés au Ministère public ou à une autre autorité de poursuite pénale, conformément à l'art. 301 al. 1 du Code de procédure pénale suisse du 5 octobre 2007 (CPP - RS 312.0). S'agissant de la sanction disciplinaire relative aux événements du 11 mai 2013, le recourant indique ne pas contester la sanction proprement dite, mais pas le comportement du personnel pénitentiaire, qui l'aurait agressé et humilié lors de son entrée en cellule forte. De tels griefs ne ressortissent pas à la compétence de la chambre de céans et sont donc irrecevables. Le recourant ayant déjà saisi le Ministère public, et le directeur de la prison étant au courant de ses doléances de par l'ouverture et l'instruction de la présente procédure, il n'y a pas lieu de renvoyer la cause sur ce point à une autre autorité. S'agissant de la sanction disciplinaire relative aux événements du 22 mai 2013, le recourant dit accepter la punition mais pas le motif de « violence physique » qui a été retenu, dès lors qu'il s'agissait selon lui plutôt d'une bagarre due au manque de respect à son endroit de la part de son codétenu. Cette remise en cause du seul libellé du motif retenu va au-delà du grief d'inopportunité de la décision, dès lors que ce dernier implique que la décision attaquée, bien que respectant le cadre légal et le pouvoir d'appréciation conféré à l'autorité, n'aurait pas dû être prise. Le grief est donc en principe irrecevable. Ce grief serait-il recevable qu'il devrait de toute façon être écarté comme infondé. En effet, le recourant admet avoir donné trois coups de poing à son codétenu, et ne conteste avoir mis le visage de ce dernier en sang alors même qu'il n'avait fait l'objet que d'une provocation verbale. Le trouble à l'ordre de l'établissement est ainsi avéré, et l'on ne saurait dans ces conditions retenir une quelconque légitime défense, ni aucun autre fait justificatif susceptible d'exclure ou de réduire la faute de l'intéressé. On ne voit par ailleurs pas en quoi le libellé du motif retenu, à savoir violence physique sur un autre détenu, serait contraire à la réalité – étant précisé que l'éventuelle provocation verbale de M. Y______ ne saurait ôter aux trois coups de poing que le recourant lui a assénés leur caractère violent. Le principe même de la sanction, sa quotité et son motif sont ainsi conformes au droit. Le recours sera dès lors rejeté dans la mesure de sa recevabilité. Vu la nature du litige et son issue, aucun émolument ne sera perçu, ni aucune indemnité de procédure allouée (art. 87 LPA ; art. 11 al. 1 du règlement sur les frais, émoluments et indemnités en procédure administrative du 30 juillet 1986 - RFPA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