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A/1738/2007 vom 30. April 2009</w:t>
      </w:r>
    </w:p>
    <w:p>
      <w:r>
        <w:t>GE Cour de justice, 2009-04-30, FR</w:t>
      </w:r>
    </w:p>
    <w:p>
      <w:r>
        <w:rPr>
          <w:b/>
        </w:rPr>
        <w:t xml:space="preserve">Quelle: </w:t>
      </w:r>
      <w:r>
        <w:t>https://mcp.opencaselaw.ch/entscheid/ge_gerichte_A_1738_2007</w:t>
      </w:r>
    </w:p>
    <w:p>
      <w:r>
        <w:t>FR: GE_GERICHTE A/1738/2007 du 30 avril 2009</w:t>
      </w:r>
    </w:p>
    <w:p>
      <w:r>
        <w:t>IT: GE_GERICHTE A/1738/2007 del 30 aprile 2009</w:t>
      </w:r>
    </w:p>
    <w:p>
      <w:pPr>
        <w:pStyle w:val="Heading2"/>
      </w:pPr>
      <w:r>
        <w:t>Erwägungen</w:t>
      </w:r>
    </w:p>
    <w:p>
      <w:r>
        <w:rPr>
          <w:b/>
        </w:rPr>
        <w:t>E. 2</w:t>
      </w:r>
    </w:p>
    <w:p>
      <w:r>
        <w:t>Interjeté en temps utile auprès de l’autorité compétente et dans les formes prescrites, par une assuré directement touchée dans ses intérêts juridiquement protégés par la décision querellée, le présent recours est recevable (art. 56 ss de LPGA).</w:t>
      </w:r>
    </w:p>
    <w:p>
      <w:r>
        <w:rPr>
          <w:b/>
        </w:rPr>
        <w:t>E. 3</w:t>
      </w:r>
    </w:p>
    <w:p>
      <w:r>
        <w:t>Le litige porte sur la suppression, par voie de révision, du droit de la recourante à une rente entière d’invalidité. Il s’agit en particulier de déterminer si l’invalidité de l’assurée s'est modifiée au point d'influencer son droit à la rente entre le 23 décembre 1996, date de la décision initiale d'octroi d’une rente entière, et le 12 mars 2007, date de la décision litigieuse par laquelle cette prestation a été supprimée.</w:t>
      </w:r>
    </w:p>
    <w:p>
      <w:r>
        <w:rPr>
          <w:b/>
        </w:rPr>
        <w:t>E. 4</w:t>
      </w:r>
    </w:p>
    <w:p>
      <w:r>
        <w:t>La décision du 19 mars 2007 qui a mis fin à la procédure administrative constitue l'objet de la contestation soumis à l'autorité cantonale de recours. Elle définit également la limite temporelle jusqu'à laquelle s'étend en principe l'examen juridictionnel en cas de recours. Selon une jurisprudence constante, le juge apprécie la légalité des décisions attaquées, en règle générale, d'après l'état de fait existant au moment où la décision litigieuse a été rendue (ATF 131 V 242 ) consid. 2.1 p. 243, 129 V 1 consid. 1.2 p. 4, 127 V 466 consid. 1 p. 467, 116 V 246 consid. 1a p. 248).</w:t>
      </w:r>
    </w:p>
    <w:p>
      <w:r>
        <w:rPr>
          <w:b/>
        </w:rPr>
        <w:t>E. 5</w:t>
      </w:r>
    </w:p>
    <w:p>
      <w:r>
        <w:t>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 er janvier 2008, entraînant de nombreuses modifications légales dans l'assurance-invalidité. Cela étant, ni la LPGA, ni la 4ème ou 5ème révision de l'AI n'ont modifié la notion d'invalidité, la manière d'évaluer le taux d'invalidité ni les conditions permettant de fixer le début du droit à la rente ou de modifier ce droit (ATF 130 V 343 ).</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7</w:t>
      </w:r>
    </w:p>
    <w:p>
      <w:r>
        <w:t>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 consid. 4.1).</w:t>
      </w:r>
    </w:p>
    <w:p>
      <w:r>
        <w:rPr>
          <w:b/>
        </w:rPr>
        <w:t>E. 8</w:t>
      </w:r>
    </w:p>
    <w:p>
      <w:r>
        <w:t>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w:t>
      </w:r>
    </w:p>
    <w:p>
      <w:r>
        <w:rPr>
          <w:b/>
        </w:rPr>
        <w:t>E. 9</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consid. 5b, 125 V 195 consid. 2 et les références). Aussi n'existe-t-il pas, en droit des assurances sociales, un principe selon lequel l'administration ou le juge devrait statuer, dans le doute, en faveur de l'assuré (AATF 126 V 322 consid. 5a).</w:t>
      </w:r>
    </w:p>
    <w:p>
      <w:r>
        <w:rPr>
          <w:b/>
        </w:rPr>
        <w:t>E. 10</w:t>
      </w:r>
    </w:p>
    <w:p>
      <w:r>
        <w:t>A l’appui de la décision litigieuse, l’OCAI s’est fondé sur le rapport d’examen clinique rhumatologique et psychiatrique du 13 décembre 2006, selon lequel dans l’activité habituelle, comme dans une activité adaptée, la capacité de travail exigible était de 70% (ou 2 x 3 heures par jour) depuis novembre 2006. Dans le cas particulier, on doit constater que ce rapport répond entièrement aux critères propres à lui conférer pleine valeur probante (cf. supra, § 7). Les spécialistes du SMR ont en effet explicité de façon circonstanciée et convaincante les raisons pour lesquelles ils ont retenu, dans leur appréciation consensuelle du cas, que l’assurée était à nouveau apte à travailler 70% depuis novembre 2006, tant dans l’ancienne activité de téléxiste que dans une activité adaptée à ses limitations fonctionnelles. Sur le plan somatique, ils ont ramené à 70% la capacité de travail exigible, - initialement fixée à 50%, puis à 100% dès décembre 1996 (cf. rapport d’expertise rhumatologique et psychiatrique du Centre multidisciplinaire du 28 mai 1996) dans la précédente décision du 23 décembre 1996 -, pour tenir compte en particulier des troubles statiques sous forme d’une hypercyphose dorsale importante, mis en évidence par les radiographies prises en 1999 et en 2001. L’expert rhumatologue a en outre explicité les motifs pour lesquels il n’avait pas retenu la totalité des limitations fonctionnelles posées par le Dr B__________ (pas de marche au-delà de 100 mètres, ni de port de charge supérieure à 1 kg), compte tenu en particulier des propres déclarations de l’expertisée (que celle-ci a du reste implicitement confirmées, en faisant grief à l’expert de s’être fié « aux seuls dires de la recourante») (cf. mémoire complémentaire du 7 novembre 2008, p. 3). Du point de vue psychique, l’expert psychiatre a constaté que l’intéressée ne présentait plus d’atteinte à la santé invalidante. A cet égard, il a en particulier expliqué que la dépression réactionnelle à une situation de divorce et à un accident, vécue en 1995, voire également en 1996, était en rémission depuis plusieurs années. L’assurée n’avait pas décrit d’humeur dépressive présente pendant la plupart du temps. Elle était bien entourée, ne s’ennuyait jamais, cuisinait souvent pour sa famille et ses amis, et avait de bonnes relations avec ses voisines qu’elle visitait souvent. Elle avait admis qu’elle était aujourd’hui dans le même état depuis de nombreuses années. Il n’existait en outre pas de trouble somatoforme douloureux, ni de majoration de symptômes physiques pour des raisons psychologiques. En particulier, il n’y avait pas de névrose profondément ancrée avec les douleurs comme symptôme principal (état « cristallisé »). La description des douleurs dépassant l’atteinte ostéoarticulaire était floue, imprécise et n’évoquait pas la compassion chez l’examinateur. D’un autre côté, la recourante n’a amené aucun élément susceptible de mettre sérieusement en doute l’évaluation médicale et les conclusions données par les spécialistes précités. En particulier, on ne saurait suivre l’appréciation du Dr E__________ (chirurgien orthopédiste) du 18 février 2008, estimant que sa patiente « devrait être prise à 100% par l’assurance-invalidité », au motif qu’il n’y avait aucune possibilité, compte tenu de son état et de son âge (48 ans), de lui proposer un quelconque travail. En effet, cette appréciation n’est pas, dans le domaine de l’assurance-invalidité, du ressort du médecin et ne lie donc pas l'office AI, car c'est à cette administration qu'il incombe de trancher cette question de droit (cf. art. 28 al. 2 LAI) (ATF du 4 juin 2003, I 748/02, consid. 4.2). Quant à l’affirmation, selon laquelle on « ne peut que voir s’aggraver par surcharge les douleurs vertébrales », elle n’est nullement étayée, de sorte qu’il n’y a pas lieu d’en tenir compte. Au demeurant, une totale incapacité de travail de l’assurée dans une activité adaptée (si l’on doit interpréter dans ce sens les conclusions du Dr E__________) n’est pas même retenue par le Dr B__________, médecin traitant, lequel estime, quant à lui, que sa patiente dispose d’une capacité de travail résiduelle de 50% dans une activité adaptée (rapport du 14 avril 2004). De plus, si l’on devait s’en tenir à cette dernière estimation du Dr B__________, on devrait déjà constater que la capacité de travail de l’assurée s’est effectivement améliorée depuis la décision initiale 23 décembre 1996, dans la mesure où l’OCAI avait retenu, à l’époque, une incapacité de travail totale sur le plan psychiatrique. Par ailleurs, l’estimation de 50% effectuée par le Dr B__________ (au lieu du taux de 70% retenu par l’OCAI) émane d’un praticien qui n’est pas spécialisé en rhumatologie, orthopédie ou psychiatrie (mais généraliste). A cela s’ajoute que le Dr B__________ est le médecin traitant – lequel est généralement enclin, en cas de doute, à prendre parti pour son patient en raison de la relation de confiance qui l'unit à ce dernier (ATF 125 V 353 consid. 3b/cc). Celui-ci se fonde en outre en grande partie sur les indications subjectives (non vérifiées) de sa patiente, si bien que son avis ne saurait emporter la conviction (cf. VSI 2002/2, p. 67). A cet égard, on rappellera que compte tenu des difficultés, en matière de preuve, à établir l'existence de douleurs, les simples plaintes subjectives de l'assuré ne suffisent pas pour justifier une invalidité (entière ou partielle) (ATF 130 V 353 consid. 2.2.2). Quant au Dr F__________, psychiatre traitant ayant suivi l’assurée de février 2007 à novembre 2008, il a uniquement attesté que sa patiente avait subi une incapacité de travail, d’une durée limitée à un mois, en janvier 2008 (avis des 15 janvier et 4 février 2008), alors même qu’il a suivi celle-ci « hebdomadairement » depuis février 2007 (mémoire complémentaire du 7 novembre 2008, p. 3). On doit dès lors en inférer que, contrairement à ce qu’a prétendu la recourante dans son complément au recours du 7 novembre 2008, son état de santé, sur le plan psychique, s’était effectivement durablement amélioré au moment du prononcé de la décision litigieuse du 12 mars 2007. Incidemment, on relèvera qu’en affirmant que, sur le plan psychique, son état de santé s’était « péjoré » (ibid), la recourante laisse entendre, a contrario, que la décompensation dépressive dont elle souffrait en 1996 (et qui avait entraîné une incapacité de travail à 100% lors de la décision initiale du 23 décembre 1996) avait bien, à tout le moins, évolué favorablement dans l’intervalle. Enfin, c’est le lieu de rappeler que le principe inquisitoire n’est pas absolu et que sa portée est restreinte par le devoir des parties de collaborer à l'instruction de l'affaire (cf. ci-dessus, § 8). Or, en l’occurrence, postérieurement au projet de décision de l’OCAI du 10 janvier 2007, soit depuis plus de deux années, et malgré les multiples prolongations de délai accordées, à sa demande, durant la présente procédure, la recourante, assistée de surcroît d’un avocat, n’a pas produit d’éléments médicaux permettant de retenir, au degré de la vraisemblance prépondérante, que son état psychique était resté inchangé entre la décision initiale de l’OCAI du 23 décembre 1996 et la décision sur révision du 12 mars 2007. Il faut en déduire que tel n’a pas été le cas, mais bien plutôt convenir, avec les experts du SMR qui ont examiné la recourante le 31 octobre 2006, que son état dépressif étaient alors en rémission depuis « de nombreuses années ».</w:t>
      </w:r>
    </w:p>
    <w:p>
      <w:r>
        <w:rPr>
          <w:b/>
        </w:rPr>
        <w:t>E. 12</w:t>
      </w:r>
    </w:p>
    <w:p>
      <w:r>
        <w:t>Cela étant, il ne se justifie pas de donner suite à la requête de la recourante d’entendre le Dr E__________, ou W__________ (laquelle n’apparaît du reste pas être médecin), respectivement les Dresses J__________ (psychiatre) et I__________ (rhumatologue) (cf. appréciation anticipée des preuves : ATF 124 V 94 consid. 4b).</w:t>
      </w:r>
    </w:p>
    <w:p>
      <w:r>
        <w:rPr>
          <w:b/>
        </w:rPr>
        <w:t>E. 13</w:t>
      </w:r>
    </w:p>
    <w:p>
      <w:r>
        <w:t>A toutes fins utiles, on rappellera qu’une éventuelle aggravation de l’état de santé de l’assurée, survenue postérieurement à la décision litigieuse, n’a pas à être prise en considération dans le cadre de la présente procédure (cf. supra, consid. 4 ; ATF 131 V 242 ). Il n’y a dès lors pas lieu d’octroyer à la recourante, comme elle le requiert (cf. mémoire complémentaire du 7 novembre 2008, p. 4), un délai supplémentaire pour compléter ses écritures eu égard à l’intervention chirurgicale que celle-ci a dû subir le 11 novembre 2008 en relation avec le cancer du sein dont elle avait été opérée en juin 2006. Vu ce qui précède, c’est à juste titre que l’OCAI a retenu un taux d’invalidité de 30% en l’occurrence, dans la mesure où l’assurée, dans son ancienne activité de télexiste, ne disposait plus que d’une capacité de travail (et de gain) de 70%. Ce taux ne donne pas droit à une rente (art. 28 al. 2 LAI a contrario), si bien que la décision de suppression de rente du 12 mars 2007 est bien fondée. Partant, le recours doit être rejeté. Même si la recourante succombe, il n’y a pas lieu de percevoir un émolument pour les frais de justice, dès lors que celle-ci a été mise au bénéfice de l’assistance juridique (cf. art. 6 let. a du règlement sur l’assistance juridique du 13 mars 1996 ;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