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A/1736/2021 vom 1. März 2022</w:t>
      </w:r>
    </w:p>
    <w:p>
      <w:r>
        <w:t>GE Cour de justice, 2022-03-01, FR</w:t>
      </w:r>
    </w:p>
    <w:p>
      <w:r>
        <w:rPr>
          <w:b/>
        </w:rPr>
        <w:t xml:space="preserve">Quelle: </w:t>
      </w:r>
      <w:r>
        <w:t>https://mcp.opencaselaw.ch/entscheid/ge_gerichte_A_1736_2021</w:t>
      </w:r>
    </w:p>
    <w:p>
      <w:r>
        <w:t>FR: GE_GERICHTE A/1736/2021 du 1 mars 2022</w:t>
      </w:r>
    </w:p>
    <w:p>
      <w:r>
        <w:t>IT: GE_GERICHTE A/1736/2021 del 1 marzo 2022</w:t>
      </w:r>
    </w:p>
    <w:p>
      <w:pPr>
        <w:pStyle w:val="Heading2"/>
      </w:pPr>
      <w:r>
        <w:t>Erwägungen</w:t>
      </w:r>
    </w:p>
    <w:p>
      <w:r>
        <w:rPr>
          <w:b/>
        </w:rPr>
        <w:t>E. 2</w:t>
      </w:r>
    </w:p>
    <w:p>
      <w:r>
        <w:t>se prêtant à la construction d’immeubles de logements avaient déjà été déclassées en zone 4B ou étaient destinées aux organisations internationales, ou se situaient dans des périmètres sensibles, comme les rives du lac. Le plan directeur localisé adopté par une commune et approuvé par le Conseil d’État avait force obligatoire pour ces autorités, lesquelles devaient veiller à ne pas s’en écarter sans motif lors de l’adoption des plans d’affectation du sol relevant de leurs compétences. Les rives du lac en particulier devaient être protégées et aucune densification n’y était prévue. Les autorités cantonales n’avaient pas tenu compte du PDCom. Lors de l’adoption de celui-ci, le nombre de logements était de soixante. Les dispositions prévoyant la protection contre les accidents majeurs avaient pour but de protéger la population et l’environnement de graves dommages résultant d’accidents majeurs. Elles s’adressaient non seulement aux détenteurs d’installations, mais également aux autorités, qui devaient prendre en compte, dans l’aménagement du territoire, la problématique des accidents majeurs et procéder à une pesée des intérêts en présence. Une grande partie de la zone concernée se trouvait dans le périmètre de consultation de la législation sur les accidents majeurs. Pourtant, aucune consultation n’avait été menée dans le cadre de l’adoption et de la modification du plan de zones. Le périmètre était destiné à accueillir un grand nombre de logements et d’activités impliquant un accroissement de la population dans le secteur. Le plan de site ne prenait pas en considération les risques potentiels. La législation en la matière imposait un examen approfondi au stade de la planification générale ou spéciale. Les mesures de protection devaient être évaluées au stade de l’élaboration du plan de site et non lui de l’autorisation de construire. De même, il n’avait pas été tenu compte de la future jonction autoroutière prévue à proximité immédiate de la zone en cause dans le cadre du projet de traversée du lac. 33) Le 22 juin 2021, I______ a demandé à être appelée en cause et à pouvoir participer à ce titre à la procédure de recours. Elle a aussi requis qu’un délai lui soit imparti pour formuler ses éventuelles observations.![endif]&gt;![if&gt; Elle était la propriétaire des parcelles concernées par le plan de site contesté et avait un intérêt digne de protection à participer à la procédure. 34) Le 24 juin 2021, le Conseil d’État a conclu au rejet du recours et à la confirmation des arrêtés attaqués.![endif]&gt;![if&gt; Le plan de site et les mesures prévues avaient fait l’objet d’une analyse rigoureuse de la part des services techniques et instances spécialisées pour garantir la protection du site, en particulier la préservation de ses qualités patrimoniales, historiques et paysagères, mais aussi l’intégration judicieuse et mesurée des constructions prévues. Les dispositions figurant dans le plan et son règlement étaient suffisantes au stade de la planification de détail au regard des contraintes légales en vigueur et de celles présentes sur le site. Le plan de site n’avait pas à offrir un degré de précision supplémentaire, il n’était pas constitutif d’une autorisation de construire et n’était pas supposé en revêtir la « densité ». Le plan de site contesté poursuivait un intérêt public de protection du patrimoine. Cet intérêt n’excluait pas la satisfaction d’autres intérêts comme l’intérêt public à la construction de logements ou l’intérêt privé d’un propriétaire désireux de réaliser un projet particulier. Le dépôt d’un projet privé pouvait initier une adaptation de la planification applicable à un secteur et la prise d’une mesure de protection comme un plan de site. L’élaboration du plan de site contesté était le résultat d’une pesée des intérêts conforme à la législation sur l’aménagement du territoire. L’utilisation économe, organisée et mesurée du sol poursuivie par le PDCn 2030 devait être considérée comme respectée par le plan de site contesté dans la mesure où celui-ci prévoyait des emprises au sol limitées et regroupées en conformité avec les principes d’implantation préservant les qualités du site. La majeure partie du terrain naturel perméable était maintenue au-devant de la maison de maître située dans la vue remarquable à préserver. Le plan de site fixait l’emprise du parking souterrain, situé au niveau du domaine historique, à distance des dépendances. La perméabilisation du sol devait être assurée s’agissant des aménagements extérieurs, en particulier des cheminements. En outre, des considérations paysagères avaient été intégrées dans l’étude du plan de site contesté. Le PDCom avait une portée politique et la sanction de sa violation revenait aux seules autorités politiques. Il n’avait pas d’effet juridique. Il n’était pas un nouvel instrument formel d’aménagement du territoire pouvant être invoqué par des tiers dans le cadre de la procédure d’adoption des plans d’affectation du sol et susceptible de retarder ce dernier type de procédure. Le département en charge de l’élaboration d’un plan de site était tenu d’examiner l’opportunité d’une modification du projet après avoir pris connaissance des observations et du préavis de la commune. Il n’était pas tenu d’y donner une suite favorable. La collaboration entre l’autorité d’élaboration du plan de site et la commune se concrétisait dans l’émission du préavis du Conseil municipal qui était de nature consultative. Certes, le Conseil d’État devait respecter son obligation de solliciter le préavis. Toutefois, il pouvait s’en écarter en cas de motifs pertinents. La décision du Conseil d’État de ne pas suivre la position du Conseil municipal ne constituait pas une circonstance propre à remettre en cause ni le bien-fondé du plan de site ni sa légitimité. Pour le surplus, le Conseil d’État a repris les arguments antérieurs. 35) Par décision du 21 juillet 2021, la chambre administrative, après avoir recueilli les observations des parties, a ordonné l’appel en cause de I______ et lui a fixé un délai pour présenter ses observations.![endif]&gt;![if&gt; 36) Le 6 août 2021, I______ a conclu au rejet du recours.![endif]&gt;![if&gt; Les arguments invoqués par les intéressés avaient été épuisés par la chambre administrative dans la procédure A/3702/2019 ( ATA/699/2020 ). La planification directrice n’était pas l’objet du litige. La mise à jour du plan de site n’était pas particulièrement opportune pour I______. Le périmètre concerné figurait sur la carte du schéma directeur cantonal, dans la catégorie des sites construits protégés/à protéger. Il était identifié pour une densification. La protection du domaine de K______ découlait du plan de site et de son règlement. Ceux-ci définissaient les cônes de vues, la densité maximale, l’altitude des nouveaux bâtiments au regard de ceux existants, la protection du patrimoine bâti existant, les aires d’implantation des nouveaux bâtiments et les aires libres, le traitement des cours, des espaces extérieurs et des sols, la toiture des nouveaux bâtiments comme celle des bâtiments existants, le stationnement en sous-sol ou les massifs arborés à maintenir ou à compléter. La CMNS avait donné un préavis favorable. Le plan de site avait été élaboré sous l’égide de l’office du patrimoine et des sites (ci-après : OPS) et de la CMNS. Il était le fruit d’un travail concerté de plus de dix ans en faveur de la protection du domaine de K______. Il prévoyait une emprise au sol réduite des nouveaux bâtiments, de vastes aires libres de constructions et un stationnement en souterrain, favorisant la perméabilité des sols et le maintien de l’essentiel des massifs arborés et la plantation de nouveaux arbres. Une appréciation globale du risque lié aux grandes catastrophes avait été opérée. En outre, aucun élément ne démontrait l’impossibilité de la modification de zones ou d’adoption du plan de site concernant le domaine de K______ en raison de la traversée du lac. Les mesures évoquées par les intéressés relevaient de la procédure en autorisation de construire. 37) Dans leur réplique, Mme E______, MM. C______, D______, F______, G______ et H______ et les associations des copropriétaires du chemin P______ et des chemins A______ ont souligné qu’en cas de mise en œuvre du plan de site, le domaine de K______ serait un quartier urbanisé offrant quelques bâtiments architecturalement intéressants et quelques espaces verts.![endif]&gt;![if&gt; De plus, la politique en matière de protection des arbres à Genève avait évolué depuis l’élaboration du plan de site contesté. La vision directrice du canton pour une meilleure prise en compte du patrimoine visait une surface de canopée à 30 % pour 2050. Elle ne permettait plus l’élimination d’un ou plusieurs arbres au nom de la densification. La tendance et les objectifs étaient à la conservation et à l’accroissement du patrimoine arboré et non à sa diminution. La suppression de trente à quarante arbres dans le domaine de K______ allait à l’encontre de ces principes. Le préavis de la direction générale de la nature et du paysage devenu l’office de l’agriculture et de la nature (ci-après : OCAN) n’était plus valable face cette évolution. La politique de protection des arbres s’inscrivait dans l’objectif d’une densification voulue par le PDCn limitant au maximum les atteintes à l’environnement et aux espaces naturels. L’élaboration du plan de site contesté ne résultait pas d’une pesée des intérêts approfondie, les logements créés étaient destinés à une frange aisée de la population, loin des objectifs de création de logements abordables inscrits dans le PDCn 2030. La conformité du plan de site au PDCn 2030 étant remise en question, le Conseil d’État ne pouvait pas s’écarter du PDCom, celui-ci prévoyant une densité inférieure à celle prévue par le plan de site contesté. Il ne pouvait pas non plus s’écarter du préavis défavorable du Conseil municipal. Celui-ci défendait des intérêts publics et des intérêts de ses habitants. La pétition réunissant plus de sept cent trente signatures d’habitants de la commune contre le projet exprimait la volonté de la population locale. L’avis du Conseil administratif n’était pas en phase avec la majorité des électeurs de la commune. Les cantons étaient tenus de tenir compte de la prévention des accidents majeurs dans leurs plans directeurs et plans d’affectation. L’ordonnance sur les risques majeurs et ses directives n’étaient pas respectées. L’autorité compétente devait procéder à la pesée des intérêts en présence sous l’angle de l’aménagement du territoire. Le Conseil d’État ne pouvait pas laisser la gestion des risques majeurs à une planification ultérieure. Les examens et les mesures de protection devaient être prises lors de l’élaboration/modification du plan d’affectation et non uniquement au stade de l’autorisation de construire. La distance des bâtiments aux installations et l’affectation de ces derniers étaient déjà prévus par le plan de site et ne pouvaient pas être remis en cause ultérieurement. Le projet de jonction autoroutière devait être pris en considération au moment de l’adoption du plan de site, sinon la prévention des risques d’accidents majeurs serait plus difficile à mettre en œuvre si le plan de site attaqué entrait en force. Pour le surplus, Mme E______, MM. C______, D______, F______, G______ et H______ et les associations des copropriétaires du chemin P______ et des chemins A______ ont repris leurs arguments antérieurs. 38) Ensuite de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qualité pour recourir des propriétaires et des deux associations recourantes a été examinée et admise dans l’ ATA/699/2020 précité.![endif]&gt;![if&gt; Il a été retenu que les recourants sont propriétaires de parcelles à proximité immédiate du périmètre touché par le plan de site contesté. En l’espèce, ils ont participé à la procédure d’opposition (art. 40 al. 9 de la loi sur la protection des monuments, de la nature et des sites du 4 juin 1977 - LPMNS - L 4 05 ; art. 35 al. 1, 2 et 4 de la loi d’application de la loi fédérale sur l’aménagement du territoire du 4 juin 1987 - LaLAT - L 1 30). La chambre de céans devant entrer en matière pour examiner les mérites du recours des propriétaires, la qualité pour recourir des deux associations recourantes peut souffrir de rester indécise. 3) Les recourants requièrent un transport sur place et la production par l’autorité intimée des études, préavis et tout autre élément attestant que l’impact du déclassement sur le trafic et les accès à la zone ont été pris en compte et validés par les services compétents. L’audition des représentants de l’Association Patrimoine Suisse Genève n’est plus requise.![endif]&gt;![if&gt;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 134 I 140 consid. 5.3). Le droit d'être entendu ne contient pas non plus d’obligation de discuter tous les griefs et moyens de preuve du recourant ; il suffit que le juge discute ceux qui sont pertinents pour l'issue du litige (ATF 138 I 232 consid. 5.1 ; 134  I  83 consid. 4.1). b. En l’espèce, le dossier contient de nombreuses illustrations et plans, ainsi que l’ensemble de l’argumentation déployée et des pièces versées par les parties, étant précisé que l’autorité intimée a produit le dossier utile à la résolution du présent litige. En outre, les qualités géographiques et juridiques de la zone concernée ressortent des plans du système d’information du territoire genevois (SITG, accessible en ligne à l’adresse http://ge.ch/sitg). La chambre administrative est ainsi en mesure de se représenter correctement la situation, de sorte qu’un transport sur place n’apparaît pas nécessaire. Il ne sera par conséquent pas donné suite aux requêtes d’actes d’instruction des recourants. 4) Le litige porte sur la conformité au droit de l’arrêté approuvant le plan de site contesté et son règlement et des arrêtés rejetant les oppositions des recourants.![endif]&gt;![if&gt; Le plan de site dont les recourants demandent l’annulation est une concrétisation de la loi 9______ qui a ordonné le déclassement en zone 4A des parcelles auparavant sises en zone 5 et a modifié le périmètre de protection de la LPRLac. 5) Les griefs soulevés par les recourants dans le présente cause et portant sur la violation du PDCn 2030, sa révision « particulièrement opportune », les nuisances qui seraient générées par la création de deux cents logements et cent emplois, la violation du PDCom et celle de l’OPAM et le fait que le site serait défiguré avaient déjà été soulevés dans le recours formé contre le déclassement et examinés dans l’arrêt ATA/699/2020 du 4 août 2020.![endif]&gt;![if&gt; 6) Les recourants invoquent l'absence de motif pour la mise à jour en 2019 du PDCn 2030. Ce grief avait déjà été soulevé, dans des termes similaires, dans le recours contre le déclassement et avait été écarté. La chambre de céans avait considéré que la révision du PDCn 2030 avait été dictée par la révision de la loi fédérale sur l’aménagement du territoire du 22 juin 1979 (LAT - RS 700) entrée en vigueur en 2014, ainsi qu’il ressortait du rapport du Conseil d’État du 5 septembre 2018 à l’appui de la révision du PDCn 2030 (rapport, pp. 4 et 5, consultable à l’adresse https://www.ge.ch/document/10991/telecharger – ATA/699/2020 précité consid. 9). ![endif]&gt;![if&gt; Les recourants réitèrent ce grief, indiquant ne pas comprendre en quoi les circonstances se seraient modifiées entre l’adoption de la première version du PDCn 2030 en avril 2015 et sa mise à jour en 2019, ni quels intérêts publics pourraient « justifier le projet litigieux à cet endroit ». Ce grief visant le principe de la mise à jour du PDCn n’acquiert pas une portée spécifique lorsqu’il est dirigé à nouveau contre le plan de site. Aussi la chambre de céans se référera au raisonnement déployé dans l’arrêt ATA/699/2020 précité, étant observé que la mise à jour du PDCn 2030 du 10 avril 2019 a entre-temps été approuvée par le Conseil fédéral le 18 janvier 2021. Le grief sera écarté. 7) Les recourants font valoir la non-conformité du plan de site au PDCom du 22 mai 2007 prévoyant que la zone résidentielle devrait conserver sa vocation et n’envisageant aucune densification des rives du lac.![endif]&gt;![if&gt; Ce grief avait déjà été soulevé dans le recours contre le déclassement et avait été jugé irrecevable par la chambre de céans au motif que le Grand Conseil n’était pas lié par un PDCom au moment d’adopter un plan de zone, d’autant plus lorsqu’il entendait se conformer au PDCn ( ATA/699/2020 précité consid. 11). On ne voit pas qu’il acquerrait désormais une portée spécifique ou une pertinence nouvelle s’agissant du plan de site, de sorte qu’il sera renvoyé au raisonnement tenu en 2020 et que le grief sera déclaré irrecevable, étant rappelé que le plan directeur ne produit aucun effet juridique à l’égard des particuliers, lesquels ne peuvent former aucun recours à son encontre (art. 10 al. 8 LaLAT) 8) Les recourants se plaignent du non-respect de l'ordonnance sur la protection contre les risques majeurs du 27 février 1991 (OPAM – RS 814.012) et de ses directives. Une grande partie de la zone concernée par le plan de site serait située dans une zone de périmètre de consultation, et ce dernier n’émettrait ni réserve ni directive à cet égard, malgré les réserves émises par le SERMA.![endif]&gt;![if&gt; Un grief similaire avait été soulevé contre le déclassement. La chambre de céans l’avait écarté, jugeant que le SERMA, les CFF et Gaznat SA avaient été consultés lors de l’enquête technique de la modification des limites de zones querellée et s’étaient déclarés favorables au plan de modification des limites de zones, sans remarques pour les CFF et Gaznat SA, et sous réserve pour le SERMA d’une investigation détaillée ultérieure si la population devait augmenter de manière significative l’ampleur des dommages et des risques. En l’absence de ces prescriptions de détail, lesquelles seraient déterminées ultérieurement, le SERMA ne pouvait se monter plus précis ou concret. Une première appréciation globale avait donc été opérée par l’intimé ( ATA/699/2020 précité consid. 12). Les recourants soutiennent que l’examen ne saurait être effectué au stade de l’autorisation de construire, comme le voudrait le Conseil d’État, mais qu’un examen approfondi s’imposerait au stade de la planification, qu’elle soit générale ou spéciale, comme en l’espèce, le plan de site étant suffisamment précis quant aux implantations et aux gabarits pour que les mesures de protection puissent et doivent être évaluées. La chambre de céans observe que le SERMA a émis un préavis favorable au plan de site le 29 juillet 2016, sous condition que le bâtiment E soit étanche à l’air, dispose de prises et de rejets d’air en toiture et soit résistant aux sollicitations thermiques et de surpression. Selon celui-ci, les degrés de résistance seront définis dans le cadre des autorisations de construire. Le niveau de risque dans le périmètre se situe dans la fourchette intermédiaire supérieure, même si le projet de plan de site augmente le niveau de ce risque. Des mesures de protection du bâtiment E devront être prises au stade des demandes d’autorisation de construire afin de limiter l’augmentation du niveau de risque. Il suit de là qu’une seconde appréciation, plus précise et assortie de conditions, a été opérée au stade du plan de site, laquelle satisfait aux exigences de l’OPAM, et que le respect du détail des exigences de prévention des risques sera valablement examiné au stade des autorisations de construire. Le grief sera écarté. Les recourants se plaignent également de l’absence de prise en compte du futur échangeur routier à l’emplacement de la future traversée du lac. La chambre de céans avait jugé en 2020, au sujet d’un grief semblable, que la future jonction de la traversée du lac n’avait pas à être prise en compte ni à faire l’objet d’une étude d’impact, les tenants et aboutissants du projet n’étant pas encore connus et rien ne suggérant qu’elle serait incompatible avec la modification de zone ( ATA/699/2020 précité consid. 12). Le Conseil d’État a indiqué dans la présente procédure que la construction de l’échangeur n’était pas validée et que d’éventuelles mesures de prévention du risque devraient quoi qu’il en soit être appliquées à l’éventuelle infrastructure routière et non sur le plan de site. Le grief sera écarté. 9) Les recourants se plaignent de la non-conformité du plan de site au PDCn sous différents aspects. Le plan de site et la densification exposeraient le domaine de K______ à de multiples nuisances au lieu de le protéger comme l’imposerait la fiche A15.![endif]&gt;![if&gt; La densification elle-même ne peut être remise en cause au stade du plan de site dès lors que l’IUS demeure dans la limite fixée par le déclassement ( ATA/170/2015 du 17 février 2015 consid. 10b ; ATA/489/2001 du 7 août 2001 consid. 4b). Cela étant, des griefs relatifs aux effets de la densification et aux nuisances provoquées par celle-ci sont recevables. Soulevés déjà contre le déclassement, ils avaient été jugés prématurés dans l’arrêt ATA/699/2020 précité (consid. 10b et 10c). a. Les plans de site de la LPMNS constituent des plans d’affectation spéciaux précisant l’affectation et le régime d’aménagement des terrains compris à l’intérieur d’une ou plusieurs zones (art. 13 al. 1 let. c LaLAT). Ils déploient des effets contraignants pour les particuliers (Thierry TANQUEREL, La participation de la population à l'aménagement du territoire, 1988, p. 259 et 260). b. La LPMNS a pour but de conserver les monuments de l’histoire, de l’art ou de l’architecture, les antiquités immobilières ou mobilières situés ou trouvés dans le canton ainsi que le patrimoine souterrain hérité des anciennes fortifications de Genève (art. 1 let. a), de préserver l’aspect caractéristique du paysage et des localités, les immeubles et les sites dignes d’intérêt, ainsi que les beautés naturelles (art. 1 let. b), d’assurer la sauvegarde de la nature, en ménageant l’espace vital nécessaire à la flore et à la faune, et en maintenant les milieux naturels (art. 1 let. c), de favoriser l’accès du public à un site ou à son point de vue (art. 1 let. d), d’encourager toutes mesures éducatives et de soutenir les efforts entrepris en faveur de la protection des monuments, de la nature et des sites (art. 1 let. e) et d’encourager les économies d’énergie et la production d’énergies renouvelables lors de la rénovation d’immeubles au bénéfice d’une mesure de protection patrimoniale (art. 1 let. f). Elle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et des immeubles et des sites dignes d’intérêt, ainsi que des beautés naturelles (art. 4 let. b). S’agissant des bâtiments, elle prévoit l’établissement d’un inventaire de tous les immeubles dignes d’être protégés au sens de l’art. 4 (art. 7 al. 1), ainsi que la possibilité pour le Conseil d’État d’ordonner la classement d’un monument ou d’une antiquité (art. 10). S’agissant de la nature et des sites, elle prévoit la protection des sites et paysages, espèces végétales et minéraux qui présentent un intérêt biologique, scientifique, historique, esthétique ou éducatif (art. 35 al. 1), soit notamment des paysages caractéristiques, tels que rives, coteaux, points de vue (art. 35 al. 2 let. a) et ensembles bâtis qui méritent d’être protégés pour eux-mêmes ou en raison de leur situation privilégiée (art. 35 al. 2 let. b), sous réserve des dispositions de la loi sur les constructions et les installations diverses du 14 avril 1988 (LCI - L 5 05) sur les zones protégées. c. En ce qui concerne les sites, l’art. 38 LPMNS permet au Conseil d’État d’édicter les dispositions nécessaires à l’aménagement ou à la conservation d’un site protégé par l’approbation d’un plan de site assorti, le cas échéant, d’un règlement (al. 1). Les plans et règlements déterminent notamment les mesures propres à assurer la sauvegarde ou l’amélioration des lieux, telles que : maintien de bâtiments existants, alignement aux abords de lisières de bois et forêts ou de cours d’eau ; angles de vue, arborisation (al. 2 let. a), les conditions relatives aux constructions, installations et exploitations de toute nature (implantation, gabarit, volume, aspect, destination – al. 2 let. b) et les cheminements ouverts au public ainsi que les voies d’accès à un site ou à un point de vue (al. 2 let. c). À défaut d’autres règles fixées dans le plan de site ou son règlement, les art. 90, al. 1, et 93, al. 1, 2 et 4 LCI sont applicables par analogie aux travaux exécutés dans les immeubles déclarés maintenus, sous réserve des cas d’intérêt public (al. 3). Les immeubles maintenus au sens de l’al. 2, let. a, ne peuvent, sans l’autorisation du Conseil d’État, être démolis, transformés ou faire l’objet de réparations importantes (al. 4). Le projet de plan de site est élaboré par le DT, qui peut en prendre l’initiative, en collaboration avec la commune et la CMNS (art. 39 LPMNS). Il est soumis à une enquête publique d’au moins trente jours annoncée publiquement, au terme de laquelle le DT établit et publie un projet de décision, à laquelle toute personne, organisation ou autorité disposant de la qualité pour recourir peut faire opposition. Le Conseil d’État statue sur les oppositions, modifie cas échéant et adopte le plan de site. Si l’opposition émane d’une commune, le Grand Conseil est appelé à statuer sous forme de résolution. Le recours contre l’adoption du plan est régi par les art. 35 LaLAT et 40 al. 1 à 9 LPMNS précités. Le plan fait l’objet d’un réexamen périodique. Sous réserve d’éléments d’ordre secondaire, pour lesquels une nouvelle enquête publique n’est pas nécessaire, sa modification ou son abrogation est soumise à la même procédure (art. 40 al. 10 LPMNS). d. La protection par le plan de site est plus large et plus souple que le classement ou l’inscription à l’inventaire. Dans le cadre de la première LPMNS, du 19 juin 1920, le classement constituait la seule mesure de droit public à la disposition des autorités pour assurer la conservation des bâtiments dignes de protection. Généralement, cette mesure ne pouvait concerner qu’un seul bâtiment à la fois ou une partie d’un bâtiment. Le législateur a toutefois expressément pris le parti de protéger légalement des biens patrimoniaux appréhendés plus largement. Cette option a été explicitement motivée comme suit dans l’exposé des motifs à l’appui du projet de la nouvelle LPMNS du 4 juin 1976 : « Au fil du temps, le cercle des biens dignes de protection et dont la sauvegarde revêt un caractère croissant d’intérêt général s’est considérablement élargi pour s’étendre à de nouvelles composantes du patrimoine commun que menacent ou détruisent les nuisances de notre société [ ] Ce phénomène est particulièrement sensible dans notre canton, dont le territoire fort exigu abrite une agglomération en expansion. Partout, en Europe et ailleurs, ces questions préoccupent les autorités chargées de l’aménagement du territoire [ ] Dans le cadre genevois beaucoup plus modeste, il convient de protéger particulièrement certains lieux : monuments, ensembles bâtis ou naturels, paysages particulièrement remarquables, etc., et d’en ouvrir – si possible – l’accès à la population soucieuse de sauvegarder son patrimoine culturel et de jouir d’un constat paisible avec la nature » (Mémorial des séances du Grand Conseil, 1974, p. 3244). Le rapport de la commission du Grand Conseil chargée d’examiner le projet de loi qui a donné lieu à l’adoption de la LPMNS, du 4 juin 1976, précise que la commission « a voulu introduire la possibilité de protéger des ensembles bâtis, notamment dans le cadre des dispositions sur les sites. Les art. 32 à 35 ont été modifiés dans ce sens. Il semble, en effet, plus judicieux de traiter des ensembles bâtis sous le régime du plan de site que sous celui du classement » (Mémorial des séances du Grand Conseil, 1976, p. 1906). Le terme « notamment » utilisé à l'art. 35 al. 2 LPMNS indique que la notion de « site » doit être comprise largement. Le législateur a refusé de circonscrire la notion de site à celle correspondant au sens courant de ce terme, mais a étendu cette notion en y englobant d'autres objets à protéger, parmi lesquels peuvent être inclus les constructions de quartiers, le tissu urbain dans lequel elles s'inscrivent et la végétation qui les englobe ( ATA/784/2016 du 20 septembre 2016 consid. 5b). e. Le plan de site et son règlement prévus par la LPMNS répondent parfaitement aux critères qui président à la délimitation des zones protégées dignes d'intérêt, selon les prescriptions de l'art. 17 al. 1 LAT ( ATA/884/2003 du 2 décembre 2003 consid. 6a). Dans la pratique genevoise, l'instrument du plan de site a été utilisé pour la protection de périmètres ou d'objets assez divers et ne présentant pas nécessairement une homogénéité architecturale ou historique. La loi n'interdit pas, en effet, d'intégrer dans un plan de site des groupes de bâtiments dont la protection se justifie pour des motifs différenciés. f. Le Tribunal fédéral a relevé que dans la pratique genevoise, l'instrument du plan de site était large, et avait été utilisé pour la protection de périmètres ou d'objets assez divers et ne présentant pas nécessairement une homogénéité architecturale ou historique. Tel était le cas de la Rade de Genève, du centre de la ville de Carouge ainsi que des villages au caractère typique comme Hermance ou Dardagny. Il a même admis que des quartiers comme la Roseraie ou Beau-Séjour – contenant des éléments disparates, comme des établissements hospitaliers, des groupes de villas, des bâtiments de grand gabarit et des constructions isolées – constituaient un site (arrêt du Tribunal fédéral 1P.44/2004 du 12 octobre 2004 consid. 2.1.3, faisant suite à l’ ATA/884/2003 du 2 décembre 2003 consid. 4). La légalité de l'adoption de plans de site poursuivant des objectifs de protection diversifiés a été confirmée tant par le Tribunal fédéral que par la chambre de céans (arrêt du Tribunal fédéral 1P.801/99 du 16 mars 2002 ; SJ 1995 p. 87 ; ATA/884/2003 précité). Le Tribunal fédéral a par exemple admis que la présence d’hôtels pouvait constituer une caractéristique du site de la Rade à protéger (arrêt du Tribunal fédéral 1P.28/1993 du 6 mai 1998 consid. 7, in SJ 1995 89-90). g. La CMNS est une commission consultative. Elle donne son préavis sur tous les objets qui, en raison de la matière, sont de son ressort (art. 47 al. 1 LPMNS). Elle peut proposer toutes mesures propres à concourir aux buts de la LPMNS (art. 47 al. 2). Elle donne notamment son préavis sur les projets de plans de site établis par l’un des départements compétents (art. 5 al. 2 let. k du règlement d’exécution de la loi sur la protection des monuments, de la nature et des sites du 29 novembre 1976 - RPMNS - L 4 05.01) ainsi que sur tout projet de travaux concernant un immeuble situé dans le périmètre d'un plan de site (art. 5 al. 2 let. l RPMNS). L'autorité jouit, sous réserve d'excès ou d'abus du pouvoir d’appréciation, d'une certaine liberté dans les suites à donner dans un cas d'espèce, quel que soit le contenu du préavis, celui-ci n'ayant qu'un caractère consultatif ( ATA/1439/2019 du 1 er octobre 2019 ; ATA/1024/2019 du 18 juin 2019 consid. 3d ; ATA/721/2012 du 30 décembre 2012 consid. 5). Chaque fois que l'autorité administrative suit les préavis des instances consultatives, l'autorité de recours observe une certaine retenue, fonction de son aptitude à trancher le litige ( ATA/1068/2016 du 20 décembre 2016 consid. 6b et les références citées ; Thierry TANQUEREL, Manuel de droit administratif, 2018, n. 508, p. 176 et la jurisprudence citée). Les autorités de recours se limitent le cas échéant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ATA/434/2018 du 8 mai 2018 consid. 6f ; ATA/1214/2015 du 10 novembre 2015 consid. 4f ; ATA/126/2013 du 26 février 2013 consid. 9b). La chambre de céans est en revanche libre d'exercer son propre pouvoir d'examen lorsqu'elle procède elle-même à des mesures d'instruction, à l'instar d'un transport sur place ( ATA/1024/2019 précité consid. 4c et les références citées). h. Dans le cadre de l’adoption d’un plan de site, les préavis de la commune et de la CMNS sont obligatoires (art. 40 al. 3 LPMNS et 5 al. 2 let. k RPMNS). De jurisprudence constante, si la consultation de la CMNS est imposée par la loi, le préavis de cette commission a un poids certain dans l’appréciation qu’est amenée à effectuer l’autorité de recours ( ATA/1439/2019 précité ; ATA/1024/2019 du 19 juin 2019 et les arrêts cités). En outre, la CMNS se compose pour une large part de spécialistes, dont notamment des membres d’associations d’importance cantonale, poursuivant par pur idéal des buts de protection du patrimoine (art. 46 al. 2 LPMNS). À ce titre, son préavis est important. 10) a. En l’espèce, les recourants reprochent au Conseil d’État d’avoir laissé à la société propriétaire la liberté d’affectation des bâtiments à construire et d’avoir retenu que plusieurs questions seraient réglées au stade de l’autorisation de construire.![endif]&gt;![if&gt; L’art. 6 du règlement du plan de site définit les aires d’implantation des bâtiments à construire. Il fixe également les types d’activités prévus pour chaque aire d’implantation. Le plan de site détermine les gabarits et les altitudes maximales. Le plan de site n’ayant pas pour but de répartir les affectations possibles de chaque construction nouvelle et les SBP maximales, mais de protéger le domaine historique à forte valeur patrimoniale de K______ pour ses qualités et sa substance architecturale, paysagère et historique (art. 1 ch. 1 du règlement), la concrétisation des solutions d’affectation des bâtiments devrait se faire dans la phase des autorisations de construire. Les détails du projet seront alors examinés par les spécialistes, notamment de la CMNS, une fois le projet déposé. Une telle flexibilité permet d’étudier plusieurs options selon les potentiels et les contraintes du site à protéger. Le grief des recourants étant infondé, il doit être écarté. b. Les recourants reprochent au Conseil d’État l’abattage d’une trentaine d’arbres et la plantation d’une vingtaine uniquement. L’art. 8 ch. 2 du règlement prévoit que l’entretien ou la modification des aménagements extérieurs doit prendre en compte la présence d’espèces végétales intéressantes voire rares, assurer leur maintien et leur renouvellement. L’OCAN a, sur cette problématique, émis un préavis favorable que les recourants semblent remettre en cause en s’appuyant sur la politique de protection des arbres s’inscrivant dans l’objectif d’une densification voulue par le PDCn limitant au maximum les atteintes à l’environnement et aux espaces naturels. La CMNS a également émis un préavis favorable au projet de site. L’autorité intimée a suivi les préavis de ces instances spécialisées, lesquelles ont procédé à une étude approfondie du projet, sollicitant parfois des modifications qui ont été intégrées dans le plan de site querellé. Elle a confirmé que la protection des arbres et cordons du périmètre serait assurée et que dans le cadre des autorisations de construire, le projet définitif devrait se conformer notamment à la condition d’ériger le bâtiment D au minimum à 10 m de l’axe du cèdre situé à proximité de l’entrée principale au chemin de N______. Infondé, le grief doit être également écarté. c. Les recourants se plaignent aussi des emplacements des entrées des parkings souterrains.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Une voie d'accès est adaptée à l'utilisation prévue lorsqu'elle est suffisante d'un point de vue technique et juridique pour accueillir tout le trafic de la zone qu'elle dessert. Il faut également que la sécurité des usagers soit garantie sur toute sa longueur, que la visibilité et les possibilités de croisement soient suffisantes et que l'accès des services de secours et de voirie soit assuré (ATF 121 I 65 consid. 3a et les références citées ; arrêt du Tribunal fédéral 1C_225/2017 du 16 janvier 2018 consid. 4.1 et les références citées).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 arrêt du Tribunal fédéral 1P.319/2002 du 25 novembre 2002 consid. 3 in RDAT 2003 I n° 59 p. 211). Les autorités communales et cantonales disposent en ce domaine d'un important pouvoir d'appréciation (ATF 121 I 65 consid. 3a in fine ; 96 I 369 consid. 4). Selon l’art. 10 ch. 1 du règlement, toutes les places de stationnement, hormis celles de courte durée réservées à la dépose et aux livraisons, devront être aménagées en sous-sol. Des parkings souterrains peuvent être admis dans les aires prévues à cet effet. Leur impact dans la topographie du site devra être limité au maximum. Les rampes d'accès aux parkings souterrains devront faire l'objet d'une attention particulière, de manière à les intégrer soigneusement au site (ch. 2). L’autorité intimée a précisé que les parkings en sous-sol seraient construits dans les emprises fixées à cet effet. L’aménagement des entrées devrait être réalisé avec soin et dans le respect des contraintes d’intégration au site. La volonté de l’autorité intimée concorde ainsi avec les dispositions du règlement du plan de site. Pour le surplus, aucun élément du dossier ne permet de conclure en l’état que les accès aux parkings ne seraient pas étudiés avec soin au moment du dépôt et de l’instruction des autorisations de construire. Infondé, le grief doit être également écarté. d. Les recourants se plaignent enfin que les nouvelles constructions boucheraient la vue des villas existantes.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Il peut en conséquence, à titre exceptionnel, déroger aux dispositions régissant les distances entre bâtiments, les distances aux limites de propriétés et les vues droites (art. 106 al. 1 LCI). Cette disposition confère un large pouvoir d’appréciation au département compétent. Celui-ci peut déroger aux dispositions ordinaires (arrêts du Tribunal fédéral 1C_579/2015 du 4 juillet 2016 consid. 3.2 ; 1C_123/2010 du 25 mai 2010 consid. 3.3 ; ATA/537/2017 du 9 mai 2017 consid. 4b). La CMNS avait émis le 7 décembre 2009 un préavis favorable à l’avant-projet de déclassement, sous réserve de l’élaboration d’un plan de site sauvegardant l’ensemble des bâtiments anciens inscrits à l’inventaire ainsi que leurs dégagements (cour, salle d’arbres et esplanade), ajoutant que les nouvelles dispositions pourraient conjuguer à la fois le développement d’un projet de construction sur une partie importante du domaine et la conservation des qualités patrimoniales exceptionnelles de K______, définie par une assiette et un statut de protection adaptés. Elle avait ensuite émis, le 1 er février 2016, un préavis favorable à l’avant-projet de plan de site, sous réserve. À l’occasion d’un transport sur place le 5 mai 2015, les parties s’étaient mises d’accord sur la diminution de la hauteur des pignons du bâtiment de logements situé du côté de la maison de maître. Les réserves portaient sur les revêtements perméables. Ceux-ci devaient être privilégiés sur l’ensemble du site. Les constructions en sous-sol ne devaient pas modifier le terrain naturel, celui-ci devant être restitué dans son état antérieur après les travaux. En l’état, le plan de site respecte la LCI, notamment dans les gabarits qu’il adopte. Ceux-ci ont été validés par la CMNS. Les arguments relatifs aux vues remarquables pourront faire l’objet d’une analyse au moment du dépôt d’une autorisation de construire, étant rappelé que, conformément à la jurisprudence, les constructions qui respectent les différentes prescriptions légales ne peuvent être source d’inconvénients graves ( ATA/874/2018 du 28 août 2018 consid. 7a et les références citées). Enfin, le plan querellé s’inscrit dans le cadre du PDCn 2030, imposant le respect du caractère architectural des anciens bâtiments, l’échelle du village et le site environnant. Il respecte par ailleurs le principe prônant l’élaboration de plans de site aux fins de protéger le patrimoine, composante majeure de l’aménagement du territoire. e. Les recourants critiquent encore les effets du plan de site sur la perméabilité des sols. Le « Plan de mesures pour la protection des sols 2015-2018 » (accessible à l'adresse www.ge.ch/document/1916/telecharger) présente les connaissances de base nécessaires à la compréhension du sujet ainsi que le contexte général de la thématique de la conservation du sol, explique les tenants et aboutissants de la protection du sol en Suisse et développe le rôle de chaque acteur et les principes fondamentaux de la protection aussi bien quantitative que qualitative, de même que la stratégie adoptée pour atteindre les objectifs. Il expose les mesures à mettre en œuvre pour protéger les sols à Genève. Ses objectifs sont entre autres concrétisés par le PDCn 2030 et notamment sa fiche C01 portant sur la zone agricole. Or, il a été jugé que le déclassement était conforme au PDCn 2030. Si les immeubles prévus dans la présente procédure réduiront sans doute la perméabilité sur le périmètre destiné à leur implantation, ce sera dans le respect de l'IUS propre à la zone constructible 4A. Vu le gabarit des immeubles et l'effet sur leur emprise au sol, une atteinte sera en l'espèce limitée, le plan de site ménageant une très vaste portion de terrain devant demeurer non construite, de sorte que les recourants ne peuvent être suivis lorsqu'ils soutiennent que le plan de site compromettrait les objectifs de protection des sols. Le grief sera écarté. En tous points mal fondé, le recours sera rejeté en tant qu’il est recevable. 11) Vu l’issue du litige, un émolument de CHF 2'000.- sera mis à la charge solidaire des recourants, qui succombent (art. 87 al. 1 LPA). Une indemnité de procédure de CHF 1'000.- sera allouée à I______ SA, qui y a conclu, à la charge solidaire des recourants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