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A/1730/2006 vom 26. September 2006</w:t>
      </w:r>
    </w:p>
    <w:p>
      <w:r>
        <w:t>GE Cour de justice, 2006-09-26, FR</w:t>
      </w:r>
    </w:p>
    <w:p>
      <w:r>
        <w:rPr>
          <w:b/>
        </w:rPr>
        <w:t xml:space="preserve">Quelle: </w:t>
      </w:r>
      <w:r>
        <w:t>https://mcp.opencaselaw.ch/entscheid/ge_gerichte_A_1730_2006</w:t>
      </w:r>
    </w:p>
    <w:p>
      <w:r>
        <w:t>FR: GE_GERICHTE A/1730/2006 du 26 septembre 2006</w:t>
      </w:r>
    </w:p>
    <w:p>
      <w:r>
        <w:t>IT: GE_GERICHTE A/1730/2006 del 26 settembre 2006</w:t>
      </w:r>
    </w:p>
    <w:p>
      <w:pPr>
        <w:pStyle w:val="Heading2"/>
      </w:pPr>
      <w:r>
        <w:t>Erwägungen</w:t>
      </w:r>
    </w:p>
    <w:p>
      <w:r>
        <w:rPr>
          <w:b/>
        </w:rPr>
        <w:t>E. 24</w:t>
      </w:r>
    </w:p>
    <w:p>
      <w:r>
        <w:t>L'assuré a interjeté recours le 15 mai 2006 contre ladite décision sur opposition. Il indique qu'il vit de petits travaux de soudure qui l'occupent de manière épisodique, qu'il n'a jamais retrouvé un travail correspondant à ses qualifications du fait de son handicap, qu'en 2002 il s'est par ailleurs lancé dans l'agriculture afin de compléter ses revenus, qu'il a toutefois dû cesser cette activité deux ans plus tard, en raison des douleurs récurrentes qui l'immobilisaient fréquemment. Selon lui, seule son atteinte au genou l'empêche de trouver un emploi dont la rémunération correspond à ses qualifications. Il est obligé de se contenter de tâches non qualifiées, peu rémunérées. Il précise que ne pouvant produire de fiches de salaire, il y a lieu de se fonder sur un revenu hypothétique. Il rappelle que son médecin traitant, le Dr C___________, a considéré que son degré d'invalidité était de 25%. Il conclut à l'octroi d'une rente d'invalidité, à une indemnité pour atteinte à l'intégrité de 25% et à la prise en charge des prestations médicales liées à l'atteinte du genou. Il ajoute enfin que dans l'attente de l'issue de son recours et d'éventuels examens complémentaires, il reste en Suisse. Le 16 mai 2006, l'assuré a complété son recours, déclarant avoir pris connaissance des directives internes de la SUVA relatives au calcul de l'atteinte à l'intégrité et constaté que la SUVA n'en avait pas tenu compte.</w:t>
      </w:r>
    </w:p>
    <w:p>
      <w:r>
        <w:rPr>
          <w:b/>
        </w:rPr>
        <w:t>E. 25</w:t>
      </w:r>
    </w:p>
    <w:p>
      <w:r>
        <w:t>Dans sa réponse du 26 juin 2006, la SUVA a conclu au rejet du recours.</w:t>
      </w:r>
    </w:p>
    <w:p>
      <w:r>
        <w:rPr>
          <w:b/>
        </w:rPr>
        <w:t>E. 26</w:t>
      </w:r>
    </w:p>
    <w:p>
      <w:r>
        <w:t>Le courrier de la SUVA a été transmis à l'assuré et la cause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5 LOJ, le Tribunal cantonal des assurances sociales connaît en instance unique des contestations prévues à l’art. 56 de la loi fédérale sur la partie générale du droit des assurances sociales du 6 octobre 2000 entrée en vigueur le 1er janvier 2003 (LPGA), qui sont relatives à la loi fédérale sur l’assurance-accidents du 20 mars 1981 (LAA). Sa compétence ratione materiae pour juger du cas d’espèce est ainsi établie. Aux termes de l'art. 58 al. 1 et 2 LPGA : "Le tribunal des assurances compétent est celui du canton de domicile de l’assuré ou d’une autre partie au moment du dépôt du recours. Si l’assuré ou une autre partie sont domiciliés à l’étranger, le tribunal des assurances compétent est celui du canton de leur dernier domicile en Suisse ou celui du canton de domicile de leur dernier employeur suisse; si aucun de ces domiciles ne peut être déterminé, le tribunal des assurances compétent est celui du canton où l’organe d’exécution a son siège". Le siège du dernier employeur en Suisse de l'assuré étant à Genève, le Tribunal de céans est également compétent ratione loci. La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129 V 4 consid. 1.2, 127 V 467 consid. 1, 126 V 136 consid. 4b et les références). Etant donné que la demande de révision a été déposée le 31 octobre 2000, soit à une date antérieure à l’entrée en vigueur de la LPGA, le présent cas reste régi, sur le plan matériel, par la législation en vigueur jusqu’au 31 décembre 2002. Quant aux règles de procédure, elles s'appliquent, sauf dispositions transitoires contraires, à tous les cas en cours dès l'entrée en vigueur de la LPGA (ATF 131 V 314 consid. 3.3, 117 V 93 consid. 6b, 112 V 360 consid. 4a; RAMA 1998 KV 37 p. 316 consid. 3b). Selon l’art. 60 al. 1 LPGA, le délai de recours est de trente jours. Toutefois, en dérogation à la LPGA, l’art. 106 LAA prévoit un délai de recours de trois mois. Etant donné que la décision sur opposition date du 17 février 2006, le recours déposé le 15 mai 2006 a été formé en temps utile. Interjeté dans la forme et le délai prévus par la loi, le recours est recevable, en vertu des art. 56 et ss LPGA. Le litige porte sur le droit de l'assuré à une rente d'invalidité, à une indemnité pour atteinte à l'intégrité de 25% et à la prise en charge de mesures médicales liées à l'atteinte du genou. a) Aux termes de l'art. 6 al. 1 LAA, si la loi n'en dispose pas autrement, les prestations d'assurance sont allouées en cas d'accident professionnel, d'accident non professionnel et de maladie professionnelle. La responsabilité de l'assureur-accidents s'étend, en principe, à toutes les conséquences dommageables qui se trouvent dans un rapport de causalité naturelle (ATF 119 V 337 consid. 1, 118 V 289 consid. 1b et les références) et adéquate avec l'événement assuré (ATF 125 V 461 consid. 5a et les références). Les prestations d'assurance sont également allouées en cas de rechutes et de séquelles tardives (art. 11 OLAA).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(ATF 123 V 138 consid. 3a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123 V 138 consid. 3a et les références ; ATF 118 V 296 consid. 2c et les références; RAMA 1994 n° U 206 p. 327 consid. 2). b)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337 consid. 1, 118 V 289 consid. 1b et les références). A cet égard, la jurisprudence considère que plus le temps écoulé entre l'accident et la manifestation de l'affection est long, et plus les exigences quant à la preuve, au degré de la vraisemblance prépondérante, du rapport de causalité naturelle doivent être sévères (RAMA 1997 n° U 275 p. 191 consid. 1c). c) Le droit à des prestations de l'assurance-accidents suppose en outre l'existence d'un lien de causalité adéquate entre l'accident et l'atteinte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181 consid. 405 consid. 2.2, 125 V 461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(cf. ATF 118 V 291 consid. 3a, 117 V 364 consid. 5d/bb, ATFA du 14 février 2006, U 351/04, consid. 3.2 et les références citées). d)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(cf. RAMA 1992 n° U 142 p. 75 consid. 4b). A contrario, aussi longtemps que le statu quo sine vel ante n'est pas rétabli, l'assureur-accidents doit prendre à sa charge le traitement de l'état maladif préexistant, dans la mesure où il a été causé ou aggravé par l'accident (ATFA du 14 février 2006, U 351/04, consid. 3.3 et les références citées). 7. a) Selon le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b) Sans remettre en cause le principe de la libre appréciation des preuves, le Tribunal fédéral des assurances a posé des lignes directrices en ce qui concerne la manière d'apprécier certains types d'expertises ou de rapports médicaux. Ainsi,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permette de douter de leur bien-fondé (ATF 125 V 351 consid. 3b/bb). c) Le juge peut accorder pleine valeur probante aux rapports et expertises établis par les médecins d'un assureur social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 En l’espèce, suite à sa demande de révision déposée le 31 octobre 2000, le recourant a été examiné par le médecin d’arrondissement de la SUVA, en particulier le 24 octobre 2005. Le rapport se base sur un examen médical complet et prend en considération les plaintes émises par le patient. A la lecture de ce rapport, on constate que les points litigieux ont fait l'objet d'une étude circonstanciée et qu’ils ont été établis en pleine connaissance de l'anamnèse et du dossier médical, en particulier des rapports des autres médecins ayant traité l’assuré. La description du contexte médical et l'appréciation de la situation médicale sont claires et les conclusions sont dûment motivées. Qui plus est, ces conclusions ne sont pas contestées par le recourant lui-même, qui demande simplement à la SUVA de prendre en compte une incapacité de gain liée à l'aggravation de l'état de son genou. Dans ces circonstances, le rapport précité remplit toutes les conditions auxquelles la jurisprudence soumet la valeur probante de tels documents. La SUVA a admis qu'il y avait eu aggravation des séquelles au genou droit de l'accident du 12 juillet 1988, puisqu'il existe à présent, selon le rapport du Dr D___________ du 25 octobre 2005, une laxité modérée avec rares épisodes d'instabilité et un modelé arthrosique discret, alors qu'il n'y avait en 1995 qu'une laxité résiduelle minime. Elle a ainsi reconnu l'existence d'un lien de causalité naturelle et adéquate entre l'état actuel du genou et l'accident. a) Il convient ainsi, en raison de la capacité résiduelle de travail du recourant, de déterminer son degré d’invalidité et son éventuel droit à une rente. La SUVA s'est fondée sur le taux évalué par le Dr D___________ dans son expertise, laquelle doit se voir reconnaître pleine valeur probante, ainsi qu’on l’a vu ci-dessus. Le recourant quant à lui fait état du rapport du Dr C___________ du 6 janvier 2006 selon lequel un taux d'incapacité de 25% devrait lui être reconnu. Or, il y a lieu de relever que le Dr C___________ parle d'incapacité partielle permanente, dont la définition figure à l'art. 38 de la loi tunisienne N° 1994 - 0028 du 21 février 1994, comme suit : "le taux d'incapacité s'entend toujours de la réduction de la capacité professionnelle ou fonctionnelle produite par l'accident, exprimée par rapport à la capacité que possédait la victime au moment de l'accident et est déterminé par une commission médicale en fonction de la nature et de la gravité de l'atteinte, l'état général, l'âge, les facultés physiques et mentales de la victime ainsi que ses aptitudes et ses qualifications professionnelles, compte tenu d'un barème indicatif établi par arrêté conjoint des ministres de la santé publique et des affaires sociales". Le TFA, dans son arrêt du 8 juin 1998, a déjà relevé à cet égard, que les critères d'appréciation de la capacité de travail permanente sont différents en Suisse et en Tunisie. b) Selon l'art. 18 LAA, si l'assuré devient invalide à 10 % au moins à la suite d'un accident, il a droit à une rente d'invalidité (al. 1). Est réputé invalide celui dont la capacité de gain subit vraisemblablement une atteinte permanente ou de longue durée. Pour l'évaluation de l'invalidité, le revenu du travail que l'assuré devenu invalide par suite d'un accident pourrait obtenir en exerçant l'activité qu'on peut raisonnablement attendre de lui, après exécution éventuelle de mesures de réadaptation et compte tenu d'une situation équilibrée du marché du travail, est comparé au revenu qu'il aurait pu obtenir s'il n'était pas invalide (al. 2). A cet égard, le revenu d'invalide doit être évalué avant tout en fonction de la situation professionnelle concrète de l'intéressé. En l'absence d'un revenu effectivement réalisé, la jurisprudence considère que le revenu d'invalide peut être évalué sur la base de statistiques salariales (ATF 126 V 76 -77 consid. 3b), singulièrement à la lumière de celles figurant dans l'Enquête suisse sur la structure des salaires (ci-après l’ESS), publiée par l'Office fédéral de la statistique (ATF 124 V 321 ). Est déterminant lors de la comparaison des revenus au sens de l’art. 18 al. 2 LAA le moment de l’ouverture du droit à une éventuelle rente et non celui de la décision sur opposition. L’assureur-accidents est cependant tenu, avant de se prononcer sur le droit à une prestation, d’examiner si aucune modification significative des données hypothétiques déterminantes n’est intervenue durant la période postérieure à l’ouverture du droit. Dans ce cas, il lui incombe de procéder à une nouvelle comparaison des revenus avant de rendre sa décision (ATF 128 V 174 ). Aux termes de l’art. 19 LAA, le droit à la rente prend naissance dès qu’il n’y a plus lieu d’attendre de la continuation du traitement médical une sensible amélioration de l’état de l’assuré et que les éventuelles mesures de réadaptation de l’assurance-invalidité ont été menées à terme. La rente est allouée pour tout le mois au cours duquel ledit droit est né. En vertu de l’art. 15 al. 2 LAA, seconde phrase, est déterminant pour le calcul des rentes le salaire que l’assuré a gagné durant l’année qui a précédé l’accident. En l'espèce, il s'avère que l'assuré travaille dans son pays, la Tunisie, en qualité de soudeur - serrurier - constructeur huit mois et demi en moyenne par année, et à son compte dans l'agriculture. Selon le Dr D___________, la présence d'un modelé arthrosique discret est parfaitement compatible avec ces activités. L'assuré explique dans son recours qu'en réalité, il vit de petits travaux de soudure qui l'occupent épisodiquement et qu'il a cessé toute activité dans l'agriculture en 2004 en raison de douleurs récurrentes. Il rappelle que selon le Dr C___________, il présente un degré d'invalidité de 25%. Le Tribunal de céans constate, d'une part, qu'aucun chiffre ne vient corroborer les allégations de l'assuré. Celui-ci n'a pas en effet produit de fiche de salaire ou tout autre document permettant de déterminer son revenu. D'autre part, il a lui-même déclaré en octobre 2005 qu'il exerçait une activité agricole et travaillait comme soudeur environ huit mois et demi par année. Une incapacité de gain liée à l'atteinte à la santé ne peut ainsi être mise en évidence. 10. Aux termes de l'art. 10 al. 1 LAA, l'assuré a droit au traitement médical approprié, à savoir : a. au traitement ambulatoire dispensé par le médecin, le dentiste ou, sur leur prescription, par le personnel paramédical ainsi que, par la suite, par le chiropraticien; b. aux médicaments et analyses ordonnés par le médecin ou le dentiste; c. au traitement, à la nourriture et au logement en salle commune dans un hôpital; d. aux cures complémentaires et aux cures de bain prescrites par le médecin; e. aux moyens et appareils servant à la guérison. Les conditions du droit à la prise en charge des frais de traitement médical diffèrent selon que l'assuré est ou n'est pas au bénéfice d'une rente (ATF 116 V 45 consid. 3b). Dans l'éventualité visée à l'art. 10 al. 1 LAA, un traitement doit être pris en charge lorsqu'il est propre à entraîner une amélioration de l'état de santé ou à éviter une péjoration de cet état. Il n'est pas nécessaire qu'il soit de nature à rétablir ou à augmenter la capacité de gain (Frésard, L'assurance-accidents obligatoire, in : schweizerisches Bundesverwaltungsrecht [SBVR], soziale Sicherheit, n° 61 p. 29). En l'occurrence, il s'agit donc d'examiner si le traitement requis était approprié (art. 10 al. 1, phrase introductive, LAA). Selon la jurisprudence et la doctrine, tel est le cas seulement lorsque la mesure envisagée est de nature à améliorer l'état de santé, la preuve de ce fait devant être établie avec une vraisemblance suffisante. Celle-ci est donnée dès que l'on peut admettre que le traitement envisagé ne représente pas seulement une possibilité lointaine d'amélioration (arrêt du 8 novembre 2001 dans la cause F., U 134/99; Maurer, Schweizerisches Unfallversiche-rungsrecht, Berne 1985, p. 274 ch. 1 et 2). Le Dr D___________ a relevé, dans son rapport du 7 février 2006, que le niveau d'activité physique réalisé par l'assuré dans le cadre de son travail était tout à fait suffisant pour maintenir la musculature ainsi que la mobilité articulaire. Il a certes déclaré que des séances de physiothérapie pourraient avoir un effet bénéfique en cas de crises douloureuses. Il a toutefois précisé que tel n'était pas le cas en l'état. Partant, la décision de la SUVA refusant la prise en charge de mesures médicales doit être confirmée. a) Il reste à examiner si le recourant a droit, comme il le soutient, à une indemnité pour atteinte à l’intégrité d'un taux supérieur à celui fixé par l'intimée. b) Si, par suite d'un accident, un assuré souffre d'une atteinte importante et durable à son intégrité physique ou mentale, il a droit à une indemnité équitable pour atteinte à l'intégrité (art. 24 al. 1 LAA). Une atteinte à l’intégrité est réputée durable lorsqu’il est prévisible qu’elle subsistera avec au moins la même gravité, pendant toute la vie. Elle est réputée importante lorsque l’intégrité physique ou mentale subit, indépendamment de la diminution de la capacité de gain, une altération évidente ou grave (art. 36 al. 1 er de l’ordonnance sur l’assurance-accidents du 20 décembre 1982 - OLAA) Il sera équitablement tenu compte des aggravations prévisibles de l’atteinte à l’intégrité. Une révision n’est possible qu’en cas exceptionnel, si l’aggravation est importante et n’était pas prévisible (art 36 al. 4 OLAA). L'atteinte à l'intégrité fait abstraction des effets particuliers qu'elle peut exercer sur un individu donné; elle traduit une évaluation abstraite, valable pour tous les assurés. Seul est donc pris en compte "le degré de gravité" attribuable à une telle atteinte à l'intégrité chez l'homme moyen (W. GILD et H. ZOLLINGER, Die Integritätentschädigung nach dem Bundesgesetz über die Unfallversicherung, Berne 1984, pp. 38 et 46; dans le même sens, A. MAURER, Schweizerisches Unfallversicherungsrecht, Berne 1985, p. 417; A. RUMO-JUNGO, E. MURER, Bundesgesetz über die Unfallversicherung, Zurich 1991, ad art. 25 al. 1, p. 104). L’indemnité pour atteinte à l’intégrité est allouée sous forme de prestation en capital. Elle ne doit pas excéder le montant maximum du gain annuel assuré à l'époque de l'accident et elle est échelonnée selon la gravité de l'atteinte à l'intégrité (art. 25 al. 1 LAA). En vertu des art. 25 al. 2 LAA et 36 al. 1 er OLAA, le Conseil fédéral a édicté des directives sur le calcul de l'atteinte à l'intégrité, constituant l'annexe no 3 de l'OLAA, qui comporte un barème des atteintes à l'intégrité en pour cent du montant maximum du gain assuré. Ce barème - reconnu conforme à la loi - ne constitue pas une énumération exhaustive (ATF 124 V 32 consid. 1b et les références). Il représente une «règle générale» (ch. 1 al. 1 de l'annexe). Pour les atteintes qui sont spéciales ou qui ne figurent pas dans la liste, il y a lieu d'appliquer le barème par analogie, en tenant compte de la gravité de l'atteinte (ch. 1 al. 2 de l'annexe). Le ch. 2 de l'annexe dispose au surplus que la perte totale de l’usage d’un organe est assimilée à la perte de celui-ci. En cas de perte partielle d’un organe ou de son usage, l’indemnité pour atteinte à l’intégrité est réduite en conséquence; toutefois aucune indemnité ne sera versée dans les cas où un taux inférieur à 5 % du montant maximum du gain assuré serait appliqué. La division médicale de la SUVA a élaboré des tables complémentaires plus détaillées (Informations de la division médicale de la SUVA no 57 à 60, ainsi que 62), que le Tribunal fédéral a jugées compatibles avec l'annexe 3 OLAA, dans la mesure où elles ne constituaient pas des règles de droit impératives, mais simplement des indications destinées à garantir l'égalité de traitement entre les assurés (ATF 116 V 156 ; 113 V 218 ). Dans le cas d’espèce, l’assuré s’est vu reconnaître une atteinte à l’intégrité de 5 %. Le recourant reproche à la SUVA de n'avoir pas correctement appliqué son barème. Il produit à cet égard un extrait des tables de la SUVA concernant les atteintes à l'intégrité résultant de troubles fonctionnels des membres inférieurs. Toutefois force est de constater que l'assuré ne présente pas de blocage du genou, mais une laxité modérée. Il convient dès lors d'utiliser les tables relatives aux laxités ligamentaires ce qu'a fait le Dr D___________, et non les tables auxquelles se réfère l'assuré. Le recourant n’apportant aucun élément médical susceptible de mettre en doute le taux retenu par l’expert, qui est pour le surplus conforme à ce qui découle de l’OLAA et des tables établies par la SUVA, le taux d’atteinte à l’intégrité doit également être confirmé.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