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A/1725/2022 vom 28. September 2022</w:t>
      </w:r>
    </w:p>
    <w:p>
      <w:r>
        <w:t>GE Cour de justice, 2022-09-28, FR</w:t>
      </w:r>
    </w:p>
    <w:p>
      <w:r>
        <w:rPr>
          <w:b/>
        </w:rPr>
        <w:t xml:space="preserve">Quelle: </w:t>
      </w:r>
      <w:r>
        <w:t>https://mcp.opencaselaw.ch/entscheid/ge_gerichte_A_1725_2022</w:t>
      </w:r>
    </w:p>
    <w:p>
      <w:r>
        <w:t>FR: GE_GERICHTE A/1725/2022 du 28 septembre 2022</w:t>
      </w:r>
    </w:p>
    <w:p>
      <w:r>
        <w:t>IT: GE_GERICHTE A/1725/2022 del 28 settembre 2022</w:t>
      </w:r>
    </w:p>
    <w:p>
      <w:pPr>
        <w:pStyle w:val="Heading2"/>
      </w:pPr>
      <w:r>
        <w:t>Regeste</w:t>
      </w:r>
    </w:p>
    <w:p>
      <w:r>
        <w:t>LIMITATION DES ÉMISSIONS;ANTENNE;RADIOCOMMUNICATION;TÉLÉPHONE MOBILE;ATTEINTE À LA SANTÉ;PROTECTION DE L'ENVIRONNEMENT | LPE.11; ORNI.4</w:t>
      </w:r>
    </w:p>
    <w:p>
      <w:pPr>
        <w:pStyle w:val="Heading2"/>
      </w:pPr>
      <w:r>
        <w:t>Erwägungen</w:t>
      </w:r>
    </w:p>
    <w:p>
      <w:r>
        <w:rPr>
          <w:b/>
        </w:rPr>
        <w:t>E. 2</w:t>
      </w:r>
    </w:p>
    <w:p>
      <w:r>
        <w:t>, utilisée pour le mât appelé à supporter les antennes et l'équipement technique lui étant joint est très modeste (cf. plans « vue » et « vue en plan » versés au dossier de l'autorité, visés ne varietur le 27 avril 2022). Il ressort également de ces plans que le projet se situe à l'applique du bâtiment agricole existant et vise à regrouper les antennes de téléphonie des trois opérateurs, ce qui tend à minimiser l'impact sur le paysage en concentrant cette nouvelle installation autour d'une construction existante. En effet, dans son préavis du 29 mai 2020, le SPI, soit l'instance spécialisée, s'est prononcé favorablement à l'octroi d'une dérogation au sens de l'art. 27 LALAT relevant que la pratique actuelle tendait à concentrer les installations sur de grands mâts au lieu de plus petites installations plus nombreuses, sans qu'il ne soit pour l'heure démontré que l'une ou l'autre de ces variantes entraine un impact sur le paysage plus acceptable que l'autre, ce d'autant plus que l'implantation de ce genre d'installations génère un impact négatif sur le contexte environnant, quelle que soit leur situation. Enfin, comme déjà développé plus haut, il sera rappelé que s'agissant des craintes de la recourante quant aux éventuels effets nocifs liés au développement de la 5G, les récentes études de la Confédération à ce sujet ont démontré que le respect des valeurs limites fixées dans l'ORNI permettait d'assurer la sécurité de la population et partant également de la faune. Il résulte ainsi de ce qui précède que c'est à juste titre que l'autorité intimée a délivré l'autorisation de construire litigieuse sur la base des art. 24 LAT et 27 LaLAT, en suivant les préavis favorables des instances compétentes. 53.         En application des art. 87 al. 1 LPA et 1 et 2 du règlement sur les frais, émoluments et indemnités en procédure administrative du 30 juillet 1986 (RFPA - E 5 10.03), la recourante qui succombe, est condamnée au paiement d’un émolument s'élevant à CHF 900.- couvert par l’avance de frais versée à la suite du dépôt du recours. ![endif]&gt;![if&gt; 54.         Vu l'issue du litige, une indemnité de procédure de CHF 1'500.-, à la charge de la recourante, sera allouée à B______ (art. 87 al. 2 à 4 LPA et 6 RFPA).![endif]&gt;![if&gt;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