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A/1720/2023 vom 6. November 2023</w:t>
      </w:r>
    </w:p>
    <w:p>
      <w:r>
        <w:t>GE Cour de justice, 2023-11-06, FR</w:t>
      </w:r>
    </w:p>
    <w:p>
      <w:r>
        <w:rPr>
          <w:b/>
        </w:rPr>
        <w:t xml:space="preserve">Quelle: </w:t>
      </w:r>
      <w:r>
        <w:t>https://mcp.opencaselaw.ch/entscheid/ge_gerichte_A_1720_2023</w:t>
      </w:r>
    </w:p>
    <w:p>
      <w:r>
        <w:t>FR: GE_GERICHTE A/1720/2023 du 6 novembre 2023</w:t>
      </w:r>
    </w:p>
    <w:p>
      <w:r>
        <w:t>IT: GE_GERICHTE A/1720/2023 del 6 novembre 2023</w:t>
      </w:r>
    </w:p>
    <w:p>
      <w:pPr>
        <w:pStyle w:val="Heading2"/>
      </w:pPr>
      <w:r>
        <w:t>Erwägungen</w:t>
      </w:r>
    </w:p>
    <w:p>
      <w:r>
        <w:rPr>
          <w:b/>
        </w:rPr>
        <w:t>E. 1</w:t>
      </w:r>
    </w:p>
    <w:p>
      <w:r>
        <w:t>Les recours ont été interjetés en temps utile devant la juridiction compétente (art. 132 de la loi sur l'organisation judiciaire du 26 septembre 2010 - LOJ - E 2 05 ; art. 62 al. 1 let. a et 63 al. 1 let. a de la loi sur la procédure administrative du 12 septembre 1985 - LPA - E 5 10). ![endif]&gt;![if&gt; L’autorité intimée n’a pas contesté les explications du détenu quant à la date du dépôt de son recours dans la cause A/1720/2023, contre la sanction du 7 avril 2023, dans la boîte à disposition. Il ne sera en conséquence pas tenu compte de la date du timbre postal du mercredi 17 mai 2023.</w:t>
      </w:r>
    </w:p>
    <w:p>
      <w:r>
        <w:rPr>
          <w:b/>
        </w:rPr>
        <w:t>E. 2.1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w:t>
      </w:r>
    </w:p>
    <w:p>
      <w:r>
        <w:rPr>
          <w:b/>
        </w:rPr>
        <w:t>E. 2.2</w:t>
      </w:r>
    </w:p>
    <w:p>
      <w:r>
        <w:t>En l’espèce, les deux causes, toutes deux gardées à juger, portent sur une sanction disciplinaire, concernant le même détenu. Les problématiques sont pour partie identiques dans les deux causes, notamment l’incidence du transfert de l’intéressé dans le canton de Vaud. Dans ces circonstances, il se justifie de joindre les deux causes sous le numéro A/1720/2023.</w:t>
      </w:r>
    </w:p>
    <w:p>
      <w:r>
        <w:rPr>
          <w:b/>
        </w:rPr>
        <w:t>E. 3</w:t>
      </w:r>
    </w:p>
    <w:p>
      <w:r>
        <w:t>L’autorité intimée conclut à l’irrecevabilité des recours en l’absence d’intérêt actuel du détenu, suite à son transfert aux EPO. ![endif]&gt;![if&gt;</w:t>
      </w:r>
    </w:p>
    <w:p>
      <w:r>
        <w:rPr>
          <w:b/>
        </w:rPr>
        <w:t>E. 3.1</w:t>
      </w:r>
    </w:p>
    <w:p>
      <w:r>
        <w:t>Aux termes de l’art. 60 al. 1 let. b LPA, ont qualité pour recourir toutes les personnes qui sont touchées directement par une décision et ont un intérêt digne de protection à ce qu’elle soit annulée ou modifiée, ce qui suppose l’existence d’un intérêt actuel. L’existence de celui-ci s’apprécie non seulement au moment du dépôt du recours, mais aussi lors du prononcé de la décision sur recours ( ATA/60/2020 du 21 janvier 2020 consid. 2b et 2c et les références citées). En matière de sanctions disciplinaires, la chambre administrative fait en principe abstraction de l’exigence de l’intérêt actuel lorsque le recourant se trouve encore en détention au moment du prononcé de l’arrêt, faute de quoi une telle mesure échapperait systématiquement à son contrôle étant donné la brièveté de la sanction ( ATA/219/2020 du 25 février 2020 consid. 4a et la référence citée).![endif]&gt;![if&gt;</w:t>
      </w:r>
    </w:p>
    <w:p>
      <w:r>
        <w:rPr>
          <w:b/>
        </w:rPr>
        <w:t>E. 3.2</w:t>
      </w:r>
    </w:p>
    <w:p>
      <w:r>
        <w:t>Contrairement à ce que soutient l'autorité intimée, l'existence d'un intérêt pratique d'une personne contestant une sanction disciplinaire qui lui a été infligée doit être reconnue, en tout cas aussi longtemps que l'intéressé est détenu. En effet, lesdites sanctions peuvent être prises en compte en cas de nouveau problème disciplinaire ou pour l'octroi ou le refus d'une mise en liberté conditionnelle, ce qui justifie cet intérêt, indépendamment d'un transfert dans un autre canton (ATF 139 I 206 consid. 1.1 ; ATA/434/2021 du 20 avril 2021 consid. 1a ; ATA/1418/2019 du 24 septembre 2019 consid. 2b).![endif]&gt;![if&gt;</w:t>
      </w:r>
    </w:p>
    <w:p>
      <w:r>
        <w:rPr>
          <w:b/>
        </w:rPr>
        <w:t>E. 4</w:t>
      </w:r>
    </w:p>
    <w:p>
      <w:r>
        <w:t>Le recourant sollicite son audition et celle de deux témoins dans le cadre de la sanction du 21 mai 2023.![endif]&gt;![if&gt;</w:t>
      </w:r>
    </w:p>
    <w:p>
      <w:r>
        <w:rPr>
          <w:b/>
        </w:rPr>
        <w:t>E. 4.1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4.2</w:t>
      </w:r>
    </w:p>
    <w:p>
      <w:r>
        <w:t>En l’espèce, le recourant a eu l’occasion de se déterminer à plusieurs reprises dans le cadre de la présente procédure et a pu produire toutes les pièces qu’il estimait utiles. Il n’indique pas sur quels points, qu’il n’aurait pu développer dans ses écritures, son audition serait nécessaire. Dans ces conditions, celle-ci ne sera pas ordonnée.![endif]&gt;![if&gt; Le recourant sollicite l’audition de deux gardiens dans le cadre de la sanction du 21 mai 2023 en lien avec le seul grief qu’il invoque, soit la violation de son droit d’être entendu. Leurs témoignages ne sont pas de nature à influer sur l’issue du litige, une éventuelle violation du droit d’être entendu ayant, en tous les cas, pu être réparée devant la chambre de céans. Il ne sera pas donné suite à la demande d’audition de témoins.</w:t>
      </w:r>
    </w:p>
    <w:p>
      <w:r>
        <w:rPr>
          <w:b/>
        </w:rPr>
        <w:t>E. 5</w:t>
      </w:r>
    </w:p>
    <w:p>
      <w:r>
        <w:t>Le recourant se plaint d’une violation de son droit d’être entendu dans le cadre des deux sanctions.![endif]&gt;![if&gt;</w:t>
      </w:r>
    </w:p>
    <w:p>
      <w:r>
        <w:rPr>
          <w:b/>
        </w:rPr>
        <w:t>E. 5.1</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Ce moyen doit par conséquent être examiné en premier lieu (ATF 141 V 495 consid. 2.2). Sa portée est déterminée d'abord par le droit cantonal (art. 41 ss LPA) et le droit administratif spécial (ATF 126 I 15 consid. 2). Si la protection prévue par ces lois est insuffisante, ce sont les règles minimales déduites de la Constitution qui s’appliquent (art. 29 al. 2 - Cst. ; arrêt du Tribunal fédéral 4A_15/2010 du 15 mars 2010 consid. 3.1). ![endif]&gt;![if&gt;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w:t>
      </w:r>
    </w:p>
    <w:p>
      <w:r>
        <w:rPr>
          <w:b/>
        </w:rPr>
        <w:t>E. 5.2</w:t>
      </w:r>
    </w:p>
    <w:p>
      <w:r>
        <w:t>Avant le prononcé de la sanction, la personne détenue doit être informée des faits qui lui sont reprochés et être entendue. Elle peut s'exprimer oralement ou par écrit (art. 70 al. 3 du règlement de l'établissement de Curabilis du 19 mars 2014 - RCurabilis - F 1 50.15).![endif]&gt;![if&gt;</w:t>
      </w:r>
    </w:p>
    <w:p>
      <w:r>
        <w:rPr>
          <w:b/>
        </w:rPr>
        <w:t>E. 5.3</w:t>
      </w:r>
    </w:p>
    <w:p>
      <w:r>
        <w:t>En l’espèce, s’agissant de la sanction du 7 avril 2023, le recourant a été entendu le jour même, conformément au procès-verbal versé au dossier et détaillé mot pour mot. La première question de l’agent consiste à demander au détenu ce qui s’est passé, lui laissant tout loisir d’expliquer les faits. Le recourant ne conteste d’ailleurs pas la teneur du procès-verbal. Son droit d’être entendu a en conséquence été respecté.![endif]&gt;![if&gt; S’agissant de la sanction du 21 mai 2023, le procès-verbal de l’audition est bref. Il mentionne que : « Monsieur A______ ne reconnaît pas les faits qui lui sont reprochés. Il dit à Monsieur B______ qu’il est un menteur et qu’il est inhumain. » Selon le rapport, le détenu a été entendu à 15h15 avec utilisation de la caméra 204. Selon la « notification de sanction », l’intéressé aurait été entendu oralement à 16h30. La sanction lui aurait été signifiée à 18h. Les termes « refuse de signer » apparaissant sur deux documents, soit le procès-verbal de l’audition et la notification de sanction. Les images produites ont été enregistrées à « 15:00:32 ». L’on doit en déduire que les 30 secondes d’images correspondent à l’exercice, par le détenu, de son droit d’être entendu et non au moment de la notification de la sanction. Outre que les termes mentionnés dans le procès-verbal d’audition « menteur » et « inhumain » ne sont pas audibles, il ressort du déroulement de l’entretien que l’agent de détention, après avoir dit bonjour, a immédiatement mis fin à l’entretien après que le détenu lui a signifié « je refuse de signer ». Il ne peut pas dès lors être considéré que le détenu a eu le droit de faire valoir valablement son point de vue avant qu’une décision ne soit prise. Il appartenait au gardien d’expliquer, au moins brièvement, les raisons de sa venue, à tout le moins de les clarifier, et d’écouter les éventuelles objections du détenu avant de considérer avoir respecté le droit d’être entendu de celui-ci. En conséquence, le grief de violation du droit d’être entendu du recourant lors de la sanction du 21 mai 2023 est fondé. Il a toutefois été réparé dans le cadre de la procédure devant la chambre de céans où l’occasion lui a été donnée d’expliquer les motifs pour lesquels il n’aurait pas commis une insubordination et/ou incivilités à l’encontre du personnel. Le grief sera en conséquence rejeté.</w:t>
      </w:r>
    </w:p>
    <w:p>
      <w:r>
        <w:rPr>
          <w:b/>
        </w:rPr>
        <w:t>E. 6</w:t>
      </w:r>
    </w:p>
    <w:p>
      <w:r>
        <w:t>Le recourant conteste les deux sanctions.![endif]&gt;![if&gt;</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w:t>
      </w:r>
    </w:p>
    <w:p>
      <w:r>
        <w:rPr>
          <w:b/>
        </w:rPr>
        <w:t>E. 6.2</w:t>
      </w:r>
    </w:p>
    <w:p>
      <w:r>
        <w:t>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![endif]&gt;![if&gt;</w:t>
      </w:r>
    </w:p>
    <w:p>
      <w:r>
        <w:rPr>
          <w:b/>
        </w:rPr>
        <w:t>E. 6.3</w:t>
      </w:r>
    </w:p>
    <w:p>
      <w:r>
        <w:t>À teneur de l’art. 69 al. 1 RCurabilis, sont en particulier interdits l’insubordination et les incivilités à l’encontre du personnel de Curabilis (let. b), les menaces dirigées contre les différents personnels de Curabilis, les intervenants extérieurs ou des personnes codétenues (let. c) et d'une façon générale, le fait d'adopter un comportement contraire au but de Curabilis (let. n).![endif]&gt;![if&gt;</w:t>
      </w:r>
    </w:p>
    <w:p>
      <w:r>
        <w:rPr>
          <w:b/>
        </w:rPr>
        <w:t>E. 6.4</w:t>
      </w:r>
    </w:p>
    <w:p>
      <w:r>
        <w:t>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RCurabilis).![endif]&gt;![if&gt;</w:t>
      </w:r>
    </w:p>
    <w:p>
      <w:r>
        <w:rPr>
          <w:b/>
        </w:rPr>
        <w:t>E. 6.5</w:t>
      </w:r>
    </w:p>
    <w:p>
      <w:r>
        <w:t>Selon l’art. 70 al. 4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Ces sanctions peuvent être cumulées (art. 70 al. 5 RCurabilis). L’exécution de la sanction peut être prononcée avec un sursis ou un sursis partiel de six mois au maximum (art. 70 al. 6 RCurabilis).![endif]&gt;![if&gt;</w:t>
      </w:r>
    </w:p>
    <w:p>
      <w:r>
        <w:rPr>
          <w:b/>
        </w:rPr>
        <w:t>E. 6.6</w:t>
      </w:r>
    </w:p>
    <w:p>
      <w:r>
        <w:t>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étant prévues dans une directive interne (art. 71 al. 2 RCurabilis). La chambre administrative a jugé qu’une sanction prise par un agent pénitentiaire ayant le grade de sous-chef auquel le directeur de Curabilis avait délégué la tâche de statuer était valablement prononcée par une autorité compétente ( ATA/1598/2019 du 29 octobre 2019 consid. 2d et la référence citée).![endif]&gt;![if&gt;</w:t>
      </w:r>
    </w:p>
    <w:p>
      <w:r>
        <w:rPr>
          <w:b/>
        </w:rPr>
        <w:t>E. 6.7</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ATA/284/2020 précité consid. 4d et la référence citée).![endif]&gt;![if&gt;</w:t>
      </w:r>
    </w:p>
    <w:p>
      <w:r>
        <w:rPr>
          <w:b/>
        </w:rPr>
        <w:t>E. 6.8</w:t>
      </w:r>
    </w:p>
    <w:p>
      <w:r>
        <w:t>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citées).![endif]&gt;![if&gt;</w:t>
      </w:r>
    </w:p>
    <w:p>
      <w:r>
        <w:rPr>
          <w:b/>
        </w:rPr>
        <w:t>E. 6.9</w:t>
      </w:r>
    </w:p>
    <w:p>
      <w:r>
        <w:t>De jurisprudence constante, la chambre de céans accorde généralement valeur probante aux constatations figurant dans un rapport de police, établi par des agents assermentés sauf si des éléments permettent de s'en écarter ( ATA/719/2021 du 6 juillet 2021 consid. 2d ; ATA/1339/2018 du 11 décembre 2018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2018).![endif]&gt;![if&gt;</w:t>
      </w:r>
    </w:p>
    <w:p>
      <w:r>
        <w:rPr>
          <w:b/>
        </w:rPr>
        <w:t>E. 6.10</w:t>
      </w:r>
    </w:p>
    <w:p>
      <w:r>
        <w:t>En l’espèce, il ressort de la décision de sanction du 7 avril 2023 que le détenu aurait refusé d’obtempérer et adopté un comportement inadéquat envers le personnel. ![endif]&gt;![if&gt; Selon le procès-verbal d’audition du détenu, un litige est survenu à la sortie de la salle de travail le jour même avec le détenu et une agente de détention. Selon les propos de celle-ci, le recourant aurait haussé la voix, ce qui l’aurait contrainte à mobiliser tous les agents des autres unités pour une « situation qui aurait pu se régler par simple discussion ». Selon les allégations du détenu, la gardienne lui aurait « sauté dessus ». À teneur du recours, celui-là aurait été violemment pris par le bras par l’agente de détention et un appointé, lesquels auraient tenté de lui faire une clé de bras afin de le mettre à terre. Il ne conteste toutefois pas le rapport établi minute par minute par l’agent de détention, notamment pas qu’il ait haussé la voix, son insubordination et d’avoir adopté un comportement inadéquat ayant mené non seulement à la mobilisation des agents d’autres unités, mais aussi à l’usage de la contrainte pour son retour en cellule. Dans ces conditions, conformément à la jurisprudence, il n’y a aucune raison de s’écarter des faits retenus par l’agent de détention, à qui il convient en principe d’accorder force probante eu égard à son statut de fonctionnaire assermenté. S’agissant de la sanction du 21 mai 2023, le recourant n’a relevé que la violation de son droit d’être entendu, traitée dans les considérants qui précèdent. Ainsi, en refusant d’obtempérer et en adoptant un comportement inadéquat envers le personnel le 7 avril 2023, puis en injuriant un agent de détention le 21 mai 2023, le recourant a violé ses obligations de détenu, telles que figurant aux art. 67 ss RCurabilis. Il s’ensuit que le principe d’une sanction pour les faits du 7 avril et du 21 mai 2023 est fondé. Reste à déterminer si les sanctions disciplinaires infligées sont conformes au principe de la proportionnalité. La sanction pour les faits du 7 avril 2023 consiste en la révocation du sursis de deux jours d’arrêt disciplinaire prononcé le 28 mars 2023, l’intéressé ayant été mené en cellule forte le 7 avril 2023. Or, la sanction du 28 mars 2023, de deux jours d’arrêt, sans sursis, pour refus d’obtempérer et de deux jours d’arrêt disciplinaire avec sursis d’un mois, a été partiellement annulée par arrêt de la chambre administrative ( ATA/706/2023 du 27 juin 2023) et réduite à deux jours de cellule forte ; l’illicéité de la sanction en tant qu’elle portait sur quatre jours et non deux jours de cellule forte était constatée. En conséquence, la sanction précédente ayant été réduite à deux jours au lieu de quatre, le sursis ne pouvait pas être révoqué. Se pose donc la question de savoir si une sanction de deux jours de cellule forte pour les faits reprochés est proportionnée. Si elle est apte à atteindre le but poursuivi, elle n’apparaît ni nécessaire ni proportionnée au sens étroit au vu des circonstances, l’origine des faits découlant de la demande de l’intéressé de pouvoir profiter, l’après-midi, de l’heure non utilisée le matin puis de pouvoir récupérer ses affaires dans la salle. Si, certes, le fait qu’il n’ait pas obtempéré par la suite mérite d’être sanctionné à l’instar du fait que son comportement a nécessité l’intervention de plusieurs agents, une sanction autre que la plus sévère du catalogue de l’art. 70 al. 4 RCurabilis aurait été plus adéquate. Le caractère disproportionné de la sanction découle d’ailleurs de l’annulation partielle de la précédente sanction. Le caractère illicite de la mise en cellule forte deux jours suite aux faits qui se sont déroulés le 7 avril 2023 sera en conséquence constaté. La sanction pour les faits du 21 mai 2023 consiste en sept jours de suppression de l’espace détente, sans sursis. Le recourant ne remet en cause ni le choix de la sanction ni sa quotité. La décision, déclarée exécutoire immédiatement nonobstant recours, ne mentionne pas si elle a été effectuée ni à quelle date, et l’établissement ne le précise pas dans ses écritures. La sanction est apte et nécessaire pour garantir le respect de l’ordre au sein d’un établissement pénitentiaire notamment le respect du personnel. Le recourant a des antécédents, ayant déjà fait l’objet d’un avertissement écrit pour un refus d’obtempérer le 21 mars 2022, d’une amende de CHF 50.- avec sursis de deux mois pour un comportement inadéquat le 3 avril 2022 et une amende de CHF 50.- avec sursis de deux mois le 8 décembre 2022 pour insultes, de deux jours de cellule forte le 28 mars 2023 ainsi que d’un comportement répréhensible le 7 avril 2023. L’établissement a choisi une sanction de gravité moyenne. Elle a estimé l’avertissement écrit, sanction la plus légère, comme étant insuffisante et les sanctions plus graves telles que l’amende ou des arrêts comme trop incisives. Elle a en conséquence nuancé le choix de la sanction en fonction des faits pertinents. Elle a de même nuancé la durée, en se limitant à sept jours alors que la sanction peut aller jusqu’à trois mois. Enfin, elle s’est limitée à la suppression de l’espace détente. Le principe de la proportionnalité est en conséquence respecté. Le recours du 26 mai 2023 est en conséquence infondé.</w:t>
      </w:r>
    </w:p>
    <w:p>
      <w:r>
        <w:rPr>
          <w:b/>
        </w:rPr>
        <w:t>E. 7</w:t>
      </w:r>
    </w:p>
    <w:p>
      <w:r>
        <w:t>Au vu de la nature du litige, il ne sera pas perçu d’émolument (art. 87 al. 1 LPA). Une indemnité de procédure, réduite, de CHF 500.- sera allouée au recourant, qui obtient partiellement gain de cause,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