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A/1719/2006 vom 27. Februar 2007</w:t>
      </w:r>
    </w:p>
    <w:p>
      <w:r>
        <w:t>GE Cour de justice, 2007-02-27, FR</w:t>
      </w:r>
    </w:p>
    <w:p>
      <w:r>
        <w:rPr>
          <w:b/>
        </w:rPr>
        <w:t xml:space="preserve">Quelle: </w:t>
      </w:r>
      <w:r>
        <w:t>https://mcp.opencaselaw.ch/entscheid/ge_gerichte_A_1719_2006</w:t>
      </w:r>
    </w:p>
    <w:p>
      <w:r>
        <w:t>FR: GE_GERICHTE A/1719/2006 du 27 février 2007</w:t>
      </w:r>
    </w:p>
    <w:p>
      <w:r>
        <w:t>IT: GE_GERICHTE A/1719/2006 del 27 febbraio 2007</w:t>
      </w:r>
    </w:p>
    <w:p>
      <w:pPr>
        <w:pStyle w:val="Heading2"/>
      </w:pPr>
      <w:r>
        <w:t>Regeste</w:t>
      </w:r>
    </w:p>
    <w:p>
      <w:r>
        <w:t>AI(ASSURANCE); LOI FÉDÉRALE SUR L'ASSURANCE-INVALIDITÉ; PREUVE; APPRÉCIATION DES PREUVES; PREUVE FACILITÉE; FARDEAU DE LA PREUVE; ÉTAT DE SANTÉ; MODIFICATION(EN GÉNÉRAL); RÉVISION DE LA RENTE; RENTE D'INVALIDITÉ | LPGA17</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la procédure de révision a été initiée en 2004, la LPGA s'applique au cas d'espèce (voir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est recevable à la forme, conformément à l’art. 60 LPGA.</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L'administration est tenue d’ordonner une instruction complémentaire lorsque les allégations des parties et les éléments ressortant du dossier requièrent une telle mesure et elle doit mettre en œuvre une expertise lorsqu’il paraît nécessaire de clarifier des aspects médicaux (ATF 117 V 282 consid. 4a, p. 283 ; RAMA 1985 p. 240 consid.4 ; LOCHER loc. cit.).</w:t>
      </w:r>
    </w:p>
    <w:p>
      <w:r>
        <w:rPr>
          <w:b/>
        </w:rPr>
        <w:t>E. 6</w:t>
      </w:r>
    </w:p>
    <w:p>
      <w:r>
        <w:t>En l’occurrence, se trouvent au dossier de nombreuses attestations des médecins traitants de la recourante, au Portugal et à Genève. Or, ces rapports sont contradictoires, puisque certains des médecins estiment la recourante entièrement capable de travailler dans son ancienne profession, tant du point de vue somatique que psychique (Dr D___________, médecin orthopédiste; Dresse E___________, psychiatre, Dresse L___________); d'autres l'estiment totalement incapable de travailler (Dresse M___________, psychiatre et Dr J___________, généraliste) et d'autres capable à 50% (Dresse C___________, psychiatre, et Dr K___________, spécialiste en médecine physique et réadaptation). Peu de médecins se sont penchés sur la problématique de l'éventuelle amélioration de l'état de santé de la recourante. Quant aux appréciations des médecins-conseil de l'intimé, elles ne sont pas déterminantes en l'espèce, lesdits médecins n'ayant pas examiné la recourante et ne s'étant fondés que sur les attestations des médecins traitants. Le Tribunal de céans constate ainsi que le dossier n'est pas en état d'être jugé et que l'instruction de la cause par l'administration a été lacunaire. En effet, devant la pluralité des opinions médicales émises par les médecins traitants, il n'est pas en mesure de trancher en faveur de l'une ou de l'autre et de statuer dans la présente cause. Cependant, il convient de relever qu'en procédure de révision notamment, l'Office de l'assurance-invalidité se doit d'établir les faits desquels il entend déduire un droit. En l'espèce, l'administration a réduit la rente entière octroyée à une demi-rente. Or, pour ce faire, elle a retenu l'existence d'une amélioration de l'état de santé en se fondant, sans explication, sur certaines attestations de médecins au détriment d'autres avis médicaux, qui contestent toute amélioration de l'état de santé. Le Tribunal de céans constate ainsi que l'Office intimé a agi sans établir au degré de vraisemblance prépondérante qu'une telle amélioration s'était produite, soit sans instruire la cause à satisfaction de droit. Dès lors, en l'état, le droit à la rente perdure. Par conséquent, la décision litigieuse doit être annulée et le recours admis.</w:t>
      </w:r>
    </w:p>
    <w:p>
      <w:r>
        <w:rPr>
          <w:b/>
        </w:rPr>
        <w:t>E. 7</w:t>
      </w:r>
    </w:p>
    <w:p>
      <w:r>
        <w:t>La recourante qui obtient gain de cause aura droit à des dépens, fixés en l'espèce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