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A/1717/2002 vom 25. Mai 2004</w:t>
      </w:r>
    </w:p>
    <w:p>
      <w:r>
        <w:t>GE Cour de justice, 2004-05-25, FR</w:t>
      </w:r>
    </w:p>
    <w:p>
      <w:r>
        <w:rPr>
          <w:b/>
        </w:rPr>
        <w:t xml:space="preserve">Quelle: </w:t>
      </w:r>
      <w:r>
        <w:t>https://mcp.opencaselaw.ch/entscheid/ge_gerichte_A_1717_2002</w:t>
      </w:r>
    </w:p>
    <w:p>
      <w:r>
        <w:t>FR: GE_GERICHTE A/1717/2002 du 25 mai 2004</w:t>
      </w:r>
    </w:p>
    <w:p>
      <w:r>
        <w:t>IT: GE_GERICHTE A/1717/2002 del 25 maggio 2004</w:t>
      </w:r>
    </w:p>
    <w:p>
      <w:pPr>
        <w:pStyle w:val="Heading2"/>
      </w:pPr>
      <w:r>
        <w:t>Regeste</w:t>
      </w:r>
    </w:p>
    <w:p>
      <w:r>
        <w:t>; PC ; PRESTATION COMPLÉMENTAIRE ; OBLIGATION D'ANNONCER ; VIOLATION DE L'OBLIGATION D'ANNONCER ; BONNE FOI SUBJECTIVE | LPC.27; OPC-AVS/AI.27; LAVS.47</w:t>
      </w:r>
    </w:p>
    <w:p>
      <w:pPr>
        <w:pStyle w:val="Heading2"/>
      </w:pPr>
      <w:r>
        <w:t>Erwägungen</w:t>
      </w:r>
    </w:p>
    <w:p>
      <w:r>
        <w:rPr>
          <w:b/>
        </w:rPr>
        <w:t>E. 5</w:t>
      </w:r>
    </w:p>
    <w:p>
      <w:r>
        <w:t>Le 17 janvier 2002, l’intéressé a formé réclamation contre lesdites décisions. Il ne comprend pas pour quelle raison l’OCPA considère qu’il n’a pas été de bonne foi. Il rappelle en effet qu’il a informé l’OCPA du fait qu’il recevait des indemnités de l’assurance-chômage dès le 8 septembre 2000, soit dès que le jugement du Tribunal des prud’hommes du 30 août 2000 lui avait été notifié. Il rappelle également qu’il a fait savoir à l’OCPA que son épouse travaillerait à plein temps depuis le 1 er janvier 2001, par courrier du 14 novembre 2000 déjà. Il explique enfin que son épouse, originaire du Brésil, avait quitté son pays en 1995 pour venir en Suisse, seule, suite aux violences subies de la part de son premier mari, qu’elle avait divorcé de lui en mars 1997, qu’elle avait, le 29 juin 1999, déposé une demande d’autorisation de séjour pour regroupement familial en faveur de son fils Vitor, puis de ses deux autres enfants, Jacqueline et Vanessa. Vitor avait pu venir à Genève le 1 er avril 1998, et les filles le 4 décembre 2000. L’assuré considère dès lors, vu ces circonstances, que la condition de la charge trop lourde doit être retenue.</w:t>
      </w:r>
    </w:p>
    <w:p>
      <w:r>
        <w:rPr>
          <w:b/>
        </w:rPr>
        <w:t>E. 6</w:t>
      </w:r>
    </w:p>
    <w:p>
      <w:r>
        <w:t>Par décision sur opposition du 18 septembre 2002, l’OCPA confirme ses décisions de refus de remise des sommes de 9'801 fr. et 20'098 fr. (en lieu et place des 18'784 fr. initialement retenus, une rectification ayant été apportée au montant des primes indûment versées à la caisse maladie : soit 8'904 fr. au lieu de 7'590 fr.). S’agissant de la demande de remise de 9'801 fr., l’OCPA considère que la condition de la bonne foi n’est pas réalisée, puisque l’intéressé savait recevoir des indemnités de la caisse de chômage depuis janvier 2000 déjà. Il ne lui appartenait pas, selon l’OCPA, de décider d’attendre le jugement du Tribunal des prud’hommes. S’agissant de la demande de remise de 18'784 fr., l’OCPA admet que l’assuré ait été de bonne foi, « nous ayant informés à temps du fait que son épouse allait augmenter son temps de travail de 50 à 100% dès le 1 er janvier 2001 ». En revanche, il n’y a pas, selon l’OCPA, charge trop lourde.</w:t>
      </w:r>
    </w:p>
    <w:p>
      <w:r>
        <w:rPr>
          <w:b/>
        </w:rPr>
        <w:t>E. 7</w:t>
      </w:r>
    </w:p>
    <w:p>
      <w:r>
        <w:t>L’intéressé a interjeté recours le 15 octobre 2002 contre ladite décision sur opposition.</w:t>
      </w:r>
    </w:p>
    <w:p>
      <w:r>
        <w:rPr>
          <w:b/>
        </w:rPr>
        <w:t>E. 8</w:t>
      </w:r>
    </w:p>
    <w:p>
      <w:r>
        <w:t>Dans son préavis du 20 décembre 2002, l’OCPA conclut d’une part au rejet du recours, et d’autre part, à ce que l’affaire lui soit renvoyée en ce qui concerne la part de la demande de restitution en relation avec le subside. Les allégués des parties seront repris en tant que de besoin dans la partie « en droit » qui suit. EN DROIT 1 .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2.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de prestations complémentaires (cf. article 56 V LOJ). Sa compétence pour juger du cas d’espèce est ainsi établie. 3. Le recours, interjeté auprès de la Commission cantonale de recours AVS-AI-PC en temps utile, est recevable à la forme (art. 8 de la loi sur les prestations fédérales complémentaires à l’AVS [LPC et art. 42 de la loi sur les prestations cantonales complémentaires [LPCC]). 4. Aux termes des art. 27 al. 1 LPC et 24 al. 1 LPCC, les prestations indûment touchées doivent être restituées par le bénéficiaire ou par ses héritiers (cf. également art. 27 de l’ordonnance sur les prestations complémentaires - OCP -). En l’espèce, l’assuré s’est vu réclamé le remboursement de la somme de 9'801 fr., puis de la somme de 18'784 fr., augmentée à 20'098 fr. selon décision sur réclamation du 18 septembre 2002. Il a déposé une demande de remise de l’obligation de rembourser lesdits montants. La remise ne peut être accordée que si l’intéressé a reçu de bonne foi les prestations indues et si le remboursement le placerait dans une situation difficile (art. 47 LAVS par analogie et art. 14 du règlement d’application de la LPCC). 5. Le Tribunal fédéral des assurances (ci-après le TFA) a, dans sa jurisprudence relative à l’art. 47 LAVS, maintes fois défini la notion de bonne foi. L’ignorance, par l’assuré, du fait qu’il n’avait pas droit aux prestations versées ne suffit pas pour admettre qu’il était de bonne foi. Il faut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au sens de la jurisprudence lorsque l’intéressé ne se conforme pas à ce qui peut être raisonnablement exigé d’une personne capable de discernement dans une situation identique et dans les mêmes circonstances. En revanche, l’assuré peut invoquer sa bonne foi lorsque l’acte ou l’omission fautifs ne constitue qu’une violation légère de l’obligation d’annoncer ou de renseigner (ATF 112 V 103 consid. 2c; 110 V 180 consid. 3c). Selon le TFA, il y a faute grave chaque fois que la nécessité d’annoncer un changement survenu est évidente (RCC 1986 p. 668). 6. Remise de 9’801 fr. L’OCPA reproche à l’assuré de ne pas l’avoir informé plus tôt de ce qu’il avait perçu des indemnités de l’assurance-chômage depuis janvier 2000, raison pour laquelle il considère que la condition de la bonne foi n’est pas réalisée. L’assuré rétorque que dans son courrier du 11 février 2000, il avait déjà signalé s’être inscrit auprès de l’assurance-chômage et avoir introduit une action devant le Tribunal des prud’hommes. Il souligne à cet égard qu’aussitôt après avoir reçu la décision dudit tribunal, soit le 8 septembre 2000, il a communiqué à l’OCPA tous les décomptes de l’assurance-chômage. C’est dès lors à tort que l’OCPA critique l’assuré d’avoir attendu la notification du jugement du Tribunal des prud’hommes. Il est en effet vraisemblable qu’il ait cru, de bonne foi, qu’il lui fallait attendre de connaître l’issue de la procédure engagée, dans la mesure où celle-ci risquait d’avoir des incidences sur son droit aux indemnités de chômage. Force est de constater que l’intéressé avait dûment informé l’OCPA de ce qu’il s’était inscrit auprès de l’assurance-chômage et de ce qu’un recours était pendant auprès du Tribunal des prud’hommes. Du reste, l’OCPA lui demandait régulièrement ce qu’il en était (cf. notamment pièce N° 70 chargé OCPA). Le Tribunal de céans est ainsi d’avis que la condition de la bonne foi est réalisée. La condition de la charge trop lourde sera examinée plus loin. 5. Remise de 18'784 fr. rectifiés à 20'098 fr. Le Tribunal de céans prend acte de ce que l’OCPA admet que l’intéressé ait reçu ces 18'784 fr. ou 20'098 fr. de bonne foi. 6. Il s’agit à présent d’examiner si les sommes dont le remboursement est réclamé placerait ou non l’assuré dans une situation financière difficile. Selon la jurisprudence relative à l’art. 47 LAVS, un assuré se trouve dans une situation difficile lorsque les deux tiers du revenu à porter en compte (auquel est ajoutée le cas échéant une part de la fortune) n’atteignent pas la limite fixée à l’art. 42 al. 1 LAVS pour l’octroi de rentes extraordinaires, augmentée de 50%. Pour calculer le revenu à prendre en considération ainsi que la part de fortune à y ajouter, les règles des art. 56 à 63 RAVS sont applicables. La situation économique du débiteur au moment où il devrait restituer les prestations indûment touchées est déterminante (ATF 116 V 12 consid. 2a ; ATF 111 V 132 consid. 3b). La charge est considérée comme trop lourde lorsque l’intéressé bénéficie toujours des prestations de la loi au moment de la demande de restitution et qu’il ne possède ni fortune, ni revenu d’une activité lucrative (art. 12 al. 3 du règlement sur les prestations complémentaires fédérales et 14 al. 2 du règlement d’application de la loi sur les prestations complémentaires cantonales). L’OCPA a tenu compte d’un gain d’activité lucrative annuel de 23'072 fr. pour l’épouse ainsi que d’un revenu annuel de remplacement de 16'317 fr. pour en conclure que le remboursement des sommes indûment perçues ne placerait pas le recourant dans une situation financière difficile. L’OCPA a cependant omis de prendre les trois beaux-enfants en considération et de calculer si le remboursement des deux sommes ne viendrait pas à entamer le minimum vital. Il ne suffit pas en effet de se contenter de la constatation selon laquelle l’assuré n’a plus droit aux prestations complémentaires pour considérer que la condition financière n’est pas réalisée. Les art. 12 et 13 du règlement sur les prestations complémentaires fédérales (PCF) et 14 al. 2 du règlement d’application (LPCC) n’établissent qu’une présomption qui peut être le cas échéant renversée. Il se justifie dès lors de renvoyer le dossier à l’OCPA, à charge pour lui de calculer le minimum vital, en tenant compte de la charge éventuelle que constituent les enfants de l’épouse du recourant et notifier une nouvelle décision à l’assuré relative à la remise (Directives concernant les rentes N° 1077 ss. et appendice IV). Le TFA a rappelé que l’allocation ou la restitution des prestations complémentaires n’est pas soumise aux mêmes voies de recours selon qu’elle est régie par le droit cantonal ou par le droit fédéral (ATF 125 V 184 consid. 2a.). C’est pourquoi l’art. 29 al. 3 de l’ordonnance sur les prestations complémentaires dispose que les cantons et communes qui, outre les prestations complémentaires, versent leurs propres prestations d’assurance ou d’aide doivent faire figurer celles-ci séparément sur la feuille de calcul et dans la décision. Tel est aussi le cas pour les prestations complémentaires versées indûment qui ont fait l’objet d’un ordre de restitution ou d’une remise ou qui ont dû être déclarées irrécouvrables conformément à l’art. 27 OPC. Il importe en effet que l’assuré connaisse les montants qui lui sont réclamés à un titre ou à un autre et puisse ainsi exercer utilement ses droits de recours (ATF 125 II 372 ). Aucun décompte permettant de distinguer les prestations complémentaires fédérales des prestations complémentaires cantonales dans le calcul du montant réclamé pour la restitution n’a été établi. En l’état il s’avère impossible de déterminer si les sommes dont l’OCPA réclame la restitution ont été correctement ou non calculées. Dès lors, si l’OCPA venait à considérer que la condition de la charge trop lourde n’était néanmoins pas réalisée, il veillera à inclure dans sa décision un décompte clair et précis des montants à rembourser, établissant les prestations cantonales d’une part et les prestations fédérales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