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A/1711/2014 vom 23. Dezember 2014</w:t>
      </w:r>
    </w:p>
    <w:p>
      <w:r>
        <w:t>GE Cour de justice, 2014-12-23, FR</w:t>
      </w:r>
    </w:p>
    <w:p>
      <w:r>
        <w:rPr>
          <w:b/>
        </w:rPr>
        <w:t xml:space="preserve">Quelle: </w:t>
      </w:r>
      <w:r>
        <w:t>https://mcp.opencaselaw.ch/entscheid/ge_gerichte_A_1711_2014</w:t>
      </w:r>
    </w:p>
    <w:p>
      <w:r>
        <w:t>FR: GE_GERICHTE A/1711/2014 du 23 décembre 2014</w:t>
      </w:r>
    </w:p>
    <w:p>
      <w:r>
        <w:t>IT: GE_GERICHTE A/1711/2014 del 23 dicembre 2014</w:t>
      </w:r>
    </w:p>
    <w:p>
      <w:pPr>
        <w:pStyle w:val="Heading2"/>
      </w:pPr>
      <w:r>
        <w:t>Volltext</w:t>
      </w:r>
    </w:p>
    <w:p>
      <w:r>
        <w:t>Genève Cour de justice (Cour de droit public) Chambre des assurances sociales 23.12.2014 A/1711/2014</w:t>
      </w:r>
    </w:p>
    <w:p>
      <w:r>
        <w:t>A/1711/2014 ATAS/1344/2014 du 23.12.2014 ( AI ) , REJETE En fait En droit RÉPUBLIQUE ET CANTON DE GENÈVE POUVOIR JUDICIAIRE A/1711/2014 ATAS/1344/2014 COUR DE JUSTICE Chambre des assurances sociales Arrêt du 23 décembre 2014 1 ère Chambre En la cause Madame A______, domiciliée à GENÈVE, comparant avec élection de domicile en l'étude de Maître ANDERS Michael recourante contre OFFICE DE L'ASSURANCE-INVALIDITÉ DU CANTON DE GENÈVE, sis rue des Gares 12, GENÈVE intimé EN FAIT 1.        Madame A______, née le ______1955, exerçant en dernier lieu une activité lucrative à 40 % en qualité d'animatrice au Groupement intercommunal pour l'animation parascolaire, a été victime d'un accident le 13 août 2012, au cours duquel, circulant à vélo sur une piste cyclable, elle a été renversée par une voiture bifurquant devant elle. Elle a ainsi subi une fracture comminutive du calcanéum droit. Une ostéosynthèse a été réalisée le 17 août 2012 aux Hôpitaux Universitaires de Genève. L'assurée a séjourné dans l'unité de médecine physique et réadaptation orthopédique du 28 août au 20 septembre 2012, a été transférée à la Clinique de Joli-Mont, puis à la Clinique de Montana.![endif]&gt;![if&gt; 2.        Le cas a été pris en charge par La Mobilière Assurance, en sa qualité d'assureur-accident LAA, étant précisé qu'il est également l'assureur maladie perte de gain. ![endif]&gt;![if&gt; 3.        L'assurée a déposé le 9 janvier 2013 auprès de l'Office cantonal AI (ci-après OAI) une demande visant à l'octroi de prestations AI. ![endif]&gt;![if&gt; 4.        Dans un rapport du 11 février 2013, le Docteur B______, spécialiste FMH en médecine interne, a indiqué que l'assurée avait souffert d'une fracture du calcanéum droit ostéosynthétisée à la suite d'une chute à vélo, percutée par une voiture le 13 août 2012, que l'évolution avait été compliquée par l'apparition d'un syndrome douloureux régional complexe du membre inférieur droit (enflure et douleur au pied droit), qu'en décembre 2012 un cancer ovarien bilatéral avait été découvert, qu'une chirurgie de cytréduction avait été réalisée le 10 janvier 2013 (métastases péritonéales, para-aortiques, pariéto-colique droites) et que la convalescence avait eu lieu à la Lukas Klinik de Arlesheim. Il a précisé que l'arrêt de travail pour accident se prolongeait à cause de l'enflure résiduelle et des douleurs au niveau de la cheville droite et qu'un arrêt de travail pour maladie prolongée était prévisible à cause du cancer ovarien loco-régionalement métastatique. Le Dr B______ signale par ailleurs une légère dépression et un état de fatigue. Il a joint à son rapport les trois lettres de sortie, du département de chirurgie orthopédique des HUG du 4 septembre 2012, de la Clinique genevoise de Montana du 17 décembre 2012 et du département de gynécologie et d'obstétrique des HUG du 22 janvier 2013. ![endif]&gt;![if&gt; 5.        Mandaté par La Mobilière Assurance, le Docteur C______, spécialiste FMH en orthopédie et chirurgie, a établi un rapport d'expertise le 11 juin 2013. Il a constaté que l'accident survenu le 13 août 2012 était la cause certaine de l'atteinte à la santé actuelle. Il estime qu'une reprise du travail « comme avant l'accident » sera peut être possible à la rentrée de septembre. ![endif]&gt;![if&gt; 6.        Le 18 juillet 2013, le Dr B______ a informé l'OAI que l'état de santé de sa patiente s'était aggravé depuis deux ans en raison d'un affaiblissement progressif, d'une perte de poids, de la progression du carcinome péritonéale, subilens et a ajouté que le pronostic était sombre. Il a évalué la capacité de travail à 0 % depuis le 13 août 2012. ![endif]&gt;![if&gt; 7.        Se fondant sur le fait que l'incapacité de travail pour les seules suites de l'accident se terminait au 30 juin 2013, La Mobilière a informé l'assurée que les indemnités journalières LAA lui seraient versées jusqu'à cette date et des indemnités assurance maladie perte de gain dès le 1 er juillet 2013. ![endif]&gt;![if&gt; 8.        Dans une note du 22 août 2013, le médecin du SMR a relevé que, compte tenu de la sévérité de l'atteinte, il était manifeste qu'aucune activité n'est possible, ceci de façon définitive. ![endif]&gt;![if&gt; 9.        Une enquête économique sur le ménage a été réalisée au domicile de l'assurée le 7 janvier 2014. Il en résulte un empêchement de 12 % dans l'accomplissement des travaux habituels, étant précisé qu'il a été tenu compte de la présence de son fils, âgé de 22 ans, sous le même toit, ainsi que des limitations fonctionnelles indiquées par le SMR, à savoir l'asthénie et l'altération de l'état général. ![endif]&gt;![if&gt; 10.    Un projet de décision AI a été transmis à l'assurée le 6 février 2014, aux termes duquel celle-ci avait droit à une demi-rente, basée sur un degré d'invalidité de 55 %, à compter du 13 août 2013. La part professionnelle a été fixée à 49 % avec une incapacité de travail à 100 % et la part consacrée aux tâches ménagères à 51 %, avec une limitation à 12 %. ![endif]&gt;![if&gt; 11.    Par décision du 29 avril 2014, l'OAI a fixé à CHF 817.- le montant de la rente due à l'assurée et à CHF 327.- celui de la rente complémentaire simple pour enfant. Le calcul a été effectué sur la base d’un revenu annuel moyen déterminant de CHF 43'524.- et d’une durée de cotisations de 33 ans, et l’échelle de rente 40 a été appliquée. ![endif]&gt;![if&gt; 12.    L'assurée, représentée par Maître Michael ANDERS, a interjeté recours le 13 juin 2014 contre ladite décision. S'agissant de la recevabilité du recours, elle souligne que si la décision lui a effectivement été notifiée le 29 avril 2014, la motivation y relative ne lui a été adressée par l'OAI que par courrier du 13 mai 2014. Au fond, elle conteste le degré d'empêchement dans les activités ménagères qu'a retenu l'OAI. Elle précise à cet égard qu'il lui est impossible de porter des poids, de stationner longtemps debout, si bien qu'elle ne peut faire les commissions, les lessives, le repassage, passer l'aspirateur et faire les lits. Il lui est aussi très difficile et pénible d'accomplir certaines autres tâches ménagères, en particulier la cuisine et le nettoyage en raison de son état de grande faiblesse et des douleurs consécutives au traitement de chimiothérapie. Elle conclut dès lors que l'empêchement relatif à la tenue du ménage doit être porté à 50 % au minimum. ![endif]&gt;![if&gt; 13.    Dans sa réponse du 14 juillet 2014, l'OAI s'en est rapporté à justice quant à la recevabilité du recours, demandant cependant à ce que l'assurée soit interrogée sur la date à laquelle elle avait reçu la feuille de motivation. ![endif]&gt;![if&gt; Au fond, il a conclu au rejet du recours. 14.    Interrogée par la chambre de céans, l’infirmière ayant réalisé l’enquête ménagère a précisé que :![endif]&gt;![if&gt; « 1. Concernant les soins aux enfants : L’assurée déclare que sa fille qui demande une grande disponibilité est essentiellement prise en charge par son père. L’assurée la voit une semaine sur deux uniquement le week-end. Les empêchements pour la disponibilité à sa fille ont été estimés à 50% (cela veut dire qu’elle fait deux fois moins de chose, pour elle et avec elle, qu’auparavant). La pondération du champ d’activité, à savoir le temps qu’elle passe durant une semaine à prendre soin de sa fille a été estimé 10%. Cela veut dire qu’elle passe 10% de son temps sur une semaine à prendre soins de sa fille. Il a fallu faire une estimation considérant qu’elle la voit uniquement une semaine sur deux, d’autre part selon mes souvenirs, elle ne la voit pas forcément tous les 15 jours. Ainsi, les 5% d’empêchement pondérés correspondent à 50% de 10%. Par ailleurs, il n’y a pas d’exigibilité retenue sous ce point. 2. En ce qui concerne les courses : L’assurée déclare faire ses courses à l’extérieur sans aide. Toutefois le fait de déposer les courses sur chaque marche d’escalier a été estimé à un empêchement de 10%. D’autre part, plusieurs moyens sont à disposition pour palier à cette difficulté. Il est possible pour diminuer le dommage de faire les courses par internet ou encore de se rendre sur place (ce que l’assurée peut faire avec son vélo), de choisir les aliments et de se faire livrer directement à domicile, (la livraison à domicile est gratuite en dessous d’un certain nombre de sac). Par ailleurs, elle peut également prévoir de faire des provisions plus importantes lorsque son fils qui vit sous le même toit est disponible et s’organiser avec lui. C’est pourquoi une exigibilité de 10% pour le fils de l’assurée a été retenue sous ce point et annule l’empêchement de 10% tout de même retenu pour le port des courses jusque dans l’appartement. 3. En ce qui concerne l’asthénie et l’altération de l’état général: Les limitations fonctionnelles données par le service médical à savoir l’asthénie et l’altération de l’état général, en d’autre terme, la fatigue, a été évaluée pendant l’enquête en fonction des déclarations de l’assurée (qui ne peuvent pas ressortir mot pour mot dans un rapport d’enquête) et notamment du temps supplémentaire dont elle a besoin pour faire ses activités quotidiennes, ainsi que des éléments ressortis des avis SMR. 4. Aide apportée par le fils. L’exigibilité du fils de l’assurée qui vit sous le même toit a été retenue à hauteur de 12% (détail dans l’annexe de l’enquête ménagère sous « enquête économique sur le ménage, calculs complets). Considérant que le fils de l’assurée n’a pas de travail, sa disponibilité est d’autant plus grande, le taux de 12% est donc particulièrement généreux et avantageux puisque l’exigibilité, telle que retenue par la jurisprudence n’a pas de limites et dans le cas d’espèce est nettement inférieure au seuil des 30% habituellement retenus. » L’OAI a transmis la note de l’enquêtrice à la chambre de céans le 29 octobre 2014. 15.    Le 28 novembre 2014, l’assurée a précisé qu’« elle avait pensé qu’il s’agissait uniquement de sa capacité ménagère en lien avec la fracture de la cheville engendrée par son accident du 13 août 2012. De plus, elle avait considérablement minimisé son handicap lié à ladite lésion ». Elle produit une attestation établie par le Dr D______ le 26 novembre 2014, un courrier du Dr E______, oncologue, daté du 27 novembre 2014, ainsi que des certificats d’arrêt de travail attestant d’une incapacité de travail à 100% du 7 mai au 21 novembre 2014.![endif]&gt;![if&gt; Les deux médecins font état d’un pronostic très réservé. 16.    Invité à se déterminer, l’OAI a, le 17 décembre 2014, maintenu ses conclusions. Il relève que les nouveaux éléments médicaux produits par l’assurée confirment l’incapacité totale de travailler, ce qui a été admis. S’agissant de la part consacré aux tâches ménagères, il ne voit aucune raison pour s’écarter des conclusions de l’enquête réalisée le 7 janvier 2014, et complétée le 29 octobre 2014.![endif]&gt;![if&gt; 17.    Ce courrier a été transmis à l'assurée, puis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et 38 al. 3 LPGA), étant précisé que le délai de 30 jours ne commence à courir qu'à compter du jour suivant la réception de la feuille de motivation, soit au plus tôt le 14 mai 2014.![endif]&gt;![if&gt; 3.        Le litige porte sur le droit de l'assurée à une rente d'invalidité supérieure à une demi-rente et, plus particulièrement, sur le degré d'empêchement de l'assurée à accomplir ses tâches ménagères.![endif]&gt;![if&gt;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5.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6.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7.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8.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![endif]&gt;![if&gt; 9.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cité).![endif]&gt;![if&gt; 10.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5.4.4).![endif]&gt;![if&gt; 11.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3.2).![endif]&gt;![if&gt; 12.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17.    En l'espèce, l’OAI a retenu que l’assurée aurait, en bonne santé, exercé une activité lucrative à 49% et aurait partant consacré la part restante, de 51%, aux tâches ménagères, ce que l'assurée ne conteste pas. C'est dès lors à bon droit que l'OAI a fait application de la méthode mixte pour évaluer son invalidité. ![endif]&gt;![if&gt; 18.    Il s’agit à ce stade de déterminer quelle est la capacité de travail de l’assurée. ![endif]&gt;![if&gt; 19.    Il n’est pas contesté que l'assurée présente une incapacité entière de travailler. ![endif]&gt;![if&gt; 20.    S’agissant des empêchements à accomplir les tâches ménagères, une enquête a été réalisée le 7 janvier 2014 au domicile de l’assurée.![endif]&gt;![if&gt; 21.    Il ressort plus particulièrement de cette enquête :![endif]&gt;![if&gt; -         pour l'alimentation un empêchement pondéré de 9% et une exigibilité de 3%,![endif]&gt;![if&gt; -         pour l'entretien du logement (épousseter, passer l'aspirateur, entretenir les sols, nettoyer les vitres, faire les lits), un empêchement pondéré de 10% et une exigibilité de 4%,![endif]&gt;![if&gt; -         pour les soins aux enfants ou aux autres membres de la famille, un empêchement pondéré de 5% et une exigibilité de 5%. ![endif]&gt;![if&gt; Il n'a été retenu aucun empêchement pour la conduite du ménage, les emplettes et courses diverses, la lessive et l'entretien des vêtements. Il a par ailleurs été pris en compte la présence du fils âgé de 22 ans sous le même toit. Celui-ci est autonome mais est sans travail. S’agissant des soins aux enfants plus particulièrement, il est indiqué que « depuis l'atteinte à la santé, la fille de l'assurée est essentiellement prise en charge par son père, d'autre part, elle vit cinq jours sur sept en internat dans une école spécialisée. L'assurée dit que sa fille lui demande une grande disponibilité, elle est atteinte d'un handicap que l'assurée ne décrit que partiellement. L'assurée dit que depuis l'atteinte à la santé elle n'arrive plus à prendre soin de sa fille de la même manière, elle se décharge sur l'institution spécialisée et sur son mari. Elle ne la voit que lorsqu'elle rentre un week-end sur deux. » Il est par ailleurs précisé que : « depuis l'atteinte à la santé, l'assurée fait la lessive pour son fils et elle-même, elle dit qu'elle étend le linge dans le salon sur un étendage, elle dit qu'elle n'a jamais repassé. Elle dit que son fils peut aussi lancer une machine de temps en temps lorsqu'il voit qu'il y a du linge à laver. Il range et plie ses affaires, l'assurée range les siennes. Pour la fille, l'assurée n'a plus besoin de faire de lessive depuis qu'elle vit en internat. » Il est enfin ajouté que « depuis l'atteinte à la santé l'assurée ne fait plus ses courses à vélo, elle prend le bus qui la pose devant la Coop non loin de chez elle. Elle fait les courses deux fois par semaine. Elle a un caddie pour ne pas devoir porter. Lorsqu'elle rentre dans son immeuble, elle demande de l'aide aux voisins ou encore à son fils pour monter les courses. Lorsque personne ne l'aide, elle pose le sac sur chaque marche. Elle range les courses dans les armoires sans aide. Lorsqu'elle est sortie de l'hôpital, l'assurée a bénéficié d'une aide pour faire les courses une fois par semaine ». Dans sa note complémentaire, l’enquêtrice a notamment expliqué pour quel motif elle n’avait finalement pas retenu d’empêchement pour effectuer les courses. L’empêchement de l’assurée à accomplir les tâches ménagères a ainsi été fixé à 20%. Force est de constater que cette enquête, complétée sur demande de la chambre de céans, respecte les réquisits posés par la jurisprudence et a valeur probante. Il y a à cet égard lieu de rappeler qu’en principe, le juge n’intervient pas dans l’appréciation de l’auteur du rapport sauf lorsqu’il existe des erreurs d’estimation que l’on peut clairement constater ou des indices laissant apparaître une inexactitude dans les résultats de l’enquête. Or, en l’espèce, rien ne permet de dire que l’évaluation faite par l’enquêtrice serait erronée. Il convient au demeurant de relever qu’aucune exigibilité n’a été retenue pour une tierce personne. Il se justifie dès lors de confirmer l’empêchement établi lors de l’enquête du 7 janvier 2014, soit celui de 12%. 22.    Le taux d’invalidité doit, au vu de ce qui précède, être calculé sur la base d’un taux d’invalidité de 100% s’agissant de la part professionnelle et d’un taux d’empêchement à accomplir les tâches ménagères de 12%, ce qui donne un degré d’invalidité de 33%, insuffisant pour ouvrir droit à une rente d’invalidité (art. 28 al. 2 LAI). Aussi le recours ne peut-il être que rejeté.![endif]&gt;![if&gt; 23.    Bien que la procédure ne soit pas gratuite en matière d'assurance-invalidité (art. 69 al. 1bis LAI), il convient de renoncer à la perception d'un émolument, l'assurée étant au bénéfice de l'assistance juridique (art. 12 al. 1 du règlement sur les frais, émoluments et indemnités en procédure administrative du 30 juillet 1986; RS E 510.03).![endif]&gt;![if&gt; PAR CES MOTIFS, LA CHAMBRE DES ASSURANCES SOCIALES : Statuant A la forme : 1.        Déclare le recours recevable.![endif]&gt;![if&gt; Au fond : 2.        Le rejette.![endif]&gt;![if&gt; 3.        Renonce à percevoir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